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4B7F0D8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 Resolution</w:t>
      </w:r>
      <w:r w:rsidR="000E6B82" w:rsidRPr="00EF00B3">
        <w:rPr>
          <w:rFonts w:ascii="Verdana" w:eastAsia="Times New Roman" w:hAnsi="Verdana" w:cs="Arial"/>
          <w:b/>
          <w:bCs/>
          <w:kern w:val="36"/>
          <w:sz w:val="24"/>
          <w:szCs w:val="24"/>
        </w:rPr>
        <w:t xml:space="preserve"> </w:t>
      </w:r>
    </w:p>
    <w:p w14:paraId="4427BD2D" w14:textId="2F268D8A" w:rsidR="00F95A3D" w:rsidRPr="00EF00B3" w:rsidRDefault="004B0BD6"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7F2CB8">
        <w:rPr>
          <w:rFonts w:ascii="Verdana" w:eastAsia="Times New Roman" w:hAnsi="Verdana" w:cs="Arial"/>
          <w:b/>
          <w:bCs/>
          <w:kern w:val="36"/>
          <w:sz w:val="24"/>
          <w:szCs w:val="24"/>
        </w:rPr>
        <w:t xml:space="preserve"> 1 202</w:t>
      </w:r>
      <w:r w:rsidR="00212F93">
        <w:rPr>
          <w:rFonts w:ascii="Verdana" w:eastAsia="Times New Roman" w:hAnsi="Verdana" w:cs="Arial"/>
          <w:b/>
          <w:bCs/>
          <w:kern w:val="36"/>
          <w:sz w:val="24"/>
          <w:szCs w:val="24"/>
        </w:rPr>
        <w:t>3</w:t>
      </w:r>
      <w:r w:rsidR="000E6B82" w:rsidRPr="00EF00B3">
        <w:rPr>
          <w:rFonts w:ascii="Verdana" w:eastAsia="Times New Roman" w:hAnsi="Verdana" w:cs="Arial"/>
          <w:b/>
          <w:bCs/>
          <w:kern w:val="36"/>
          <w:sz w:val="24"/>
          <w:szCs w:val="24"/>
        </w:rPr>
        <w:t xml:space="preserve"> </w:t>
      </w:r>
      <w:proofErr w:type="gramStart"/>
      <w:r w:rsidR="000E6B82" w:rsidRPr="00EF00B3">
        <w:rPr>
          <w:rFonts w:ascii="Verdana" w:eastAsia="Times New Roman" w:hAnsi="Verdana" w:cs="Arial"/>
          <w:b/>
          <w:bCs/>
          <w:kern w:val="36"/>
          <w:sz w:val="24"/>
          <w:szCs w:val="24"/>
        </w:rPr>
        <w:t>VC</w:t>
      </w:r>
      <w:r w:rsidR="00B626D6">
        <w:rPr>
          <w:rFonts w:ascii="Verdana" w:eastAsia="Times New Roman" w:hAnsi="Verdana" w:cs="Arial"/>
          <w:b/>
          <w:bCs/>
          <w:kern w:val="36"/>
          <w:sz w:val="24"/>
          <w:szCs w:val="24"/>
        </w:rPr>
        <w:t xml:space="preserve">  Aug</w:t>
      </w:r>
      <w:proofErr w:type="gramEnd"/>
      <w:r w:rsidR="00B626D6">
        <w:rPr>
          <w:rFonts w:ascii="Verdana" w:eastAsia="Times New Roman" w:hAnsi="Verdana" w:cs="Arial"/>
          <w:b/>
          <w:bCs/>
          <w:kern w:val="36"/>
          <w:sz w:val="24"/>
          <w:szCs w:val="24"/>
        </w:rPr>
        <w:t xml:space="preserve"> 7-Sept 3</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Location: Home</w:t>
      </w:r>
    </w:p>
    <w:p w14:paraId="7643BD1C" w14:textId="700C37C5" w:rsidR="000E6B82" w:rsidRPr="008A0B9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572D4414" w14:textId="72750848" w:rsidR="00DA152B" w:rsidRPr="00DA152B" w:rsidRDefault="00341E1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Times New Roman"/>
          <w:b/>
          <w:bCs/>
          <w:sz w:val="24"/>
          <w:szCs w:val="20"/>
        </w:rPr>
        <w:t>P</w:t>
      </w:r>
      <w:r w:rsidR="00EF00B3" w:rsidRPr="00DA152B">
        <w:rPr>
          <w:rFonts w:ascii="Verdana" w:eastAsia="Times New Roman" w:hAnsi="Verdana" w:cs="Times New Roman"/>
          <w:b/>
          <w:bCs/>
          <w:sz w:val="24"/>
          <w:szCs w:val="20"/>
        </w:rPr>
        <w:t>rerequisite:</w:t>
      </w:r>
      <w:r w:rsidR="00EF00B3" w:rsidRPr="00DA152B">
        <w:rPr>
          <w:rFonts w:ascii="Verdana" w:eastAsia="Times New Roman" w:hAnsi="Verdana" w:cs="Times New Roman"/>
          <w:bCs/>
          <w:sz w:val="24"/>
          <w:szCs w:val="20"/>
        </w:rPr>
        <w:t xml:space="preserve"> Graduate Admission</w:t>
      </w:r>
    </w:p>
    <w:p w14:paraId="331F77DE" w14:textId="43BD07FB" w:rsidR="00341E1D" w:rsidRPr="00341E1D" w:rsidRDefault="00F95A3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Arial"/>
          <w:b/>
          <w:bCs/>
        </w:rPr>
        <w:t>Textbook:</w:t>
      </w:r>
      <w:r w:rsidRPr="00DA152B">
        <w:rPr>
          <w:rFonts w:ascii="Arial" w:eastAsia="Times New Roman" w:hAnsi="Arial" w:cs="Arial"/>
        </w:rPr>
        <w:t xml:space="preserve"> </w:t>
      </w:r>
      <w:r w:rsidR="008A0B91" w:rsidRPr="00DA152B">
        <w:rPr>
          <w:rFonts w:eastAsia="Times New Roman"/>
          <w:sz w:val="32"/>
        </w:rPr>
        <w:t>Working Through Conflict</w:t>
      </w:r>
      <w:r w:rsidR="00341E1D">
        <w:rPr>
          <w:rFonts w:eastAsia="Times New Roman"/>
          <w:sz w:val="32"/>
        </w:rPr>
        <w:t xml:space="preserve"> </w:t>
      </w:r>
      <w:r w:rsidR="00341E1D">
        <w:rPr>
          <w:rFonts w:ascii="Arial" w:hAnsi="Arial" w:cs="Arial"/>
          <w:color w:val="1B1B26"/>
          <w:sz w:val="23"/>
          <w:szCs w:val="23"/>
          <w:shd w:val="clear" w:color="auto" w:fill="FFFFFF"/>
        </w:rPr>
        <w:t xml:space="preserve">By: Joseph P. Folger; Marshall Scott Poole; Randall K. </w:t>
      </w:r>
      <w:proofErr w:type="spellStart"/>
      <w:r w:rsidR="00341E1D">
        <w:rPr>
          <w:rFonts w:ascii="Arial" w:hAnsi="Arial" w:cs="Arial"/>
          <w:color w:val="1B1B26"/>
          <w:sz w:val="23"/>
          <w:szCs w:val="23"/>
          <w:shd w:val="clear" w:color="auto" w:fill="FFFFFF"/>
        </w:rPr>
        <w:t>Stutman</w:t>
      </w:r>
      <w:proofErr w:type="spellEnd"/>
    </w:p>
    <w:p w14:paraId="2760B399" w14:textId="77777777" w:rsidR="00341E1D" w:rsidRPr="00341E1D" w:rsidRDefault="008A0B91" w:rsidP="00341E1D">
      <w:pPr>
        <w:pStyle w:val="ListParagraph"/>
        <w:numPr>
          <w:ilvl w:val="0"/>
          <w:numId w:val="7"/>
        </w:numPr>
        <w:spacing w:before="100" w:beforeAutospacing="1" w:after="100" w:afterAutospacing="1"/>
        <w:rPr>
          <w:sz w:val="32"/>
          <w:szCs w:val="24"/>
        </w:rPr>
      </w:pPr>
      <w:r w:rsidRPr="00DA152B">
        <w:rPr>
          <w:rFonts w:eastAsia="Times New Roman"/>
          <w:sz w:val="32"/>
        </w:rPr>
        <w:t xml:space="preserve"> </w:t>
      </w:r>
      <w:r w:rsidR="00341E1D" w:rsidRPr="00341E1D">
        <w:rPr>
          <w:sz w:val="32"/>
          <w:szCs w:val="24"/>
        </w:rPr>
        <w:t>Print ISBN: 9780367461478, 0367461471</w:t>
      </w:r>
    </w:p>
    <w:p w14:paraId="218644BF" w14:textId="77777777" w:rsidR="00341E1D" w:rsidRPr="00341E1D" w:rsidRDefault="00341E1D" w:rsidP="00341E1D">
      <w:pPr>
        <w:pStyle w:val="ListParagraph"/>
        <w:numPr>
          <w:ilvl w:val="0"/>
          <w:numId w:val="7"/>
        </w:numPr>
        <w:spacing w:before="100" w:beforeAutospacing="1" w:after="100" w:afterAutospacing="1"/>
        <w:rPr>
          <w:rFonts w:ascii="Times New Roman" w:eastAsia="Times New Roman" w:hAnsi="Times New Roman" w:cs="Times New Roman"/>
          <w:sz w:val="32"/>
          <w:szCs w:val="24"/>
        </w:rPr>
      </w:pPr>
      <w:r w:rsidRPr="00341E1D">
        <w:rPr>
          <w:rFonts w:ascii="Times New Roman" w:eastAsia="Times New Roman" w:hAnsi="Times New Roman" w:cs="Times New Roman"/>
          <w:sz w:val="32"/>
          <w:szCs w:val="24"/>
        </w:rPr>
        <w:t>eText ISBN: 9781000368482, 1000368483</w:t>
      </w:r>
    </w:p>
    <w:p w14:paraId="76BF31CD" w14:textId="3F11C288" w:rsidR="00341E1D" w:rsidRDefault="00341E1D" w:rsidP="00341E1D">
      <w:pPr>
        <w:pStyle w:val="ListParagraph"/>
        <w:spacing w:before="100" w:beforeAutospacing="1" w:after="100" w:afterAutospacing="1" w:line="240" w:lineRule="auto"/>
        <w:ind w:left="540"/>
        <w:rPr>
          <w:rFonts w:ascii="Consolas" w:hAnsi="Consolas" w:cs="Consolas"/>
          <w:color w:val="333333"/>
          <w:sz w:val="32"/>
          <w:szCs w:val="18"/>
          <w:u w:val="single"/>
          <w:shd w:val="clear" w:color="auto" w:fill="F3F3F3"/>
        </w:rPr>
      </w:pPr>
    </w:p>
    <w:p w14:paraId="4427BD38" w14:textId="50968FAD" w:rsidR="00592DE8" w:rsidRDefault="00341E1D" w:rsidP="00341E1D">
      <w:pPr>
        <w:pStyle w:val="ListParagraph"/>
        <w:spacing w:before="100" w:beforeAutospacing="1" w:after="100" w:afterAutospacing="1" w:line="240" w:lineRule="auto"/>
        <w:ind w:left="540"/>
        <w:rPr>
          <w:rFonts w:ascii="Verdana" w:eastAsia="Times New Roman" w:hAnsi="Verdana" w:cs="Arial"/>
          <w:b/>
          <w:bCs/>
          <w:sz w:val="24"/>
          <w:szCs w:val="24"/>
        </w:rPr>
      </w:pPr>
      <w:r>
        <w:rPr>
          <w:noProof/>
        </w:rPr>
        <w:drawing>
          <wp:anchor distT="0" distB="0" distL="114300" distR="114300" simplePos="0" relativeHeight="251658240" behindDoc="0" locked="0" layoutInCell="1" allowOverlap="1" wp14:anchorId="45E80612" wp14:editId="6639323F">
            <wp:simplePos x="0" y="0"/>
            <wp:positionH relativeFrom="column">
              <wp:posOffset>342900</wp:posOffset>
            </wp:positionH>
            <wp:positionV relativeFrom="paragraph">
              <wp:posOffset>6350</wp:posOffset>
            </wp:positionV>
            <wp:extent cx="802640" cy="1152525"/>
            <wp:effectExtent l="0" t="0" r="0" b="9525"/>
            <wp:wrapSquare wrapText="bothSides"/>
            <wp:docPr id="3" name="Picture 3" descr="https://covers.vitalbook.com/vbid/9781000368482/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vers.vitalbook.com/vbid/9781000368482/width/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2B4" w:rsidRPr="00DA152B">
        <w:rPr>
          <w:rFonts w:ascii="Times New Roman" w:eastAsia="Times New Roman" w:hAnsi="Times New Roman" w:cs="Times New Roman"/>
          <w:sz w:val="32"/>
          <w:szCs w:val="24"/>
        </w:rPr>
        <w:t>Publisher:  </w:t>
      </w:r>
      <w:r w:rsidRPr="00DA152B">
        <w:rPr>
          <w:rFonts w:ascii="Times New Roman" w:eastAsia="Times New Roman" w:hAnsi="Times New Roman" w:cs="Times New Roman"/>
          <w:sz w:val="32"/>
          <w:szCs w:val="24"/>
        </w:rPr>
        <w:t>Routledge</w:t>
      </w:r>
      <w:r w:rsidR="004952B4" w:rsidRPr="00DA152B">
        <w:rPr>
          <w:rFonts w:ascii="Times New Roman" w:eastAsia="Times New Roman" w:hAnsi="Times New Roman" w:cs="Times New Roman"/>
          <w:sz w:val="32"/>
          <w:szCs w:val="24"/>
        </w:rPr>
        <w:br/>
      </w:r>
      <w:r>
        <w:rPr>
          <w:rFonts w:ascii="Times New Roman" w:eastAsia="Times New Roman" w:hAnsi="Times New Roman" w:cs="Times New Roman"/>
          <w:sz w:val="32"/>
          <w:szCs w:val="24"/>
        </w:rPr>
        <w:t>Copyright:  2021 9th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3B12D26A" w14:textId="77777777" w:rsidR="00341E1D" w:rsidRPr="00341E1D" w:rsidRDefault="00341E1D" w:rsidP="00341E1D">
      <w:pPr>
        <w:spacing w:before="100" w:beforeAutospacing="1" w:after="100" w:afterAutospacing="1" w:line="240" w:lineRule="auto"/>
        <w:rPr>
          <w:rFonts w:ascii="Verdana" w:eastAsia="Times New Roman" w:hAnsi="Verdana" w:cs="Arial"/>
          <w:b/>
          <w:bCs/>
          <w:sz w:val="24"/>
          <w:szCs w:val="24"/>
        </w:rPr>
      </w:pP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lastRenderedPageBreak/>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8634C5" w:rsidRPr="00F95A3D" w14:paraId="6E7F6B6B" w14:textId="5F6C4F34" w:rsidTr="008634C5">
        <w:trPr>
          <w:cantSplit/>
          <w:tblHeader/>
          <w:jc w:val="center"/>
        </w:trPr>
        <w:tc>
          <w:tcPr>
            <w:tcW w:w="728" w:type="pct"/>
            <w:shd w:val="clear" w:color="auto" w:fill="auto"/>
            <w:vAlign w:val="center"/>
          </w:tcPr>
          <w:p w14:paraId="7DDF7A85" w14:textId="1FBDFE5A" w:rsidR="008634C5" w:rsidRPr="00295AFA" w:rsidRDefault="008634C5" w:rsidP="008634C5">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8634C5" w:rsidRPr="00295AFA" w:rsidRDefault="008634C5" w:rsidP="008634C5">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6" w:type="pct"/>
          </w:tcPr>
          <w:p w14:paraId="63BB1C0C" w14:textId="34FD9706" w:rsidR="008634C5" w:rsidRPr="00295AFA" w:rsidRDefault="008634C5" w:rsidP="008634C5">
            <w:pPr>
              <w:spacing w:after="0" w:line="240" w:lineRule="auto"/>
              <w:ind w:left="360"/>
              <w:jc w:val="center"/>
              <w:outlineLvl w:val="0"/>
              <w:rPr>
                <w:rFonts w:ascii="Verdana" w:eastAsia="Times New Roman" w:hAnsi="Verdana" w:cs="Times New Roman"/>
                <w:b/>
                <w:color w:val="0070C0"/>
              </w:rPr>
            </w:pPr>
            <w:r w:rsidRPr="008634C5">
              <w:rPr>
                <w:rFonts w:asciiTheme="majorHAnsi" w:eastAsia="Times New Roman" w:hAnsiTheme="majorHAnsi" w:cs="Times New Roman"/>
                <w:b/>
                <w:bCs/>
                <w:color w:val="4F81BD" w:themeColor="accent1"/>
              </w:rPr>
              <w:t>Due Date</w:t>
            </w:r>
          </w:p>
        </w:tc>
      </w:tr>
      <w:tr w:rsidR="008634C5" w:rsidRPr="00F95A3D" w14:paraId="4427BD52" w14:textId="55D62D2C" w:rsidTr="008634C5">
        <w:trPr>
          <w:jc w:val="center"/>
        </w:trPr>
        <w:tc>
          <w:tcPr>
            <w:tcW w:w="728" w:type="pct"/>
            <w:shd w:val="clear" w:color="auto" w:fill="auto"/>
            <w:vAlign w:val="center"/>
          </w:tcPr>
          <w:p w14:paraId="4427BD50"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77777777" w:rsidR="008634C5" w:rsidRPr="00664387" w:rsidRDefault="008634C5" w:rsidP="008634C5">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766" w:type="pct"/>
          </w:tcPr>
          <w:p w14:paraId="73D326D9" w14:textId="1D6931E9" w:rsidR="008634C5" w:rsidRPr="00664387" w:rsidRDefault="00341E1D" w:rsidP="008634C5">
            <w:pPr>
              <w:spacing w:after="0" w:line="240" w:lineRule="auto"/>
              <w:ind w:left="360"/>
              <w:jc w:val="center"/>
              <w:outlineLvl w:val="0"/>
              <w:rPr>
                <w:rFonts w:ascii="Verdana" w:eastAsia="Times New Roman" w:hAnsi="Verdana" w:cs="Times New Roman"/>
                <w:b/>
              </w:rPr>
            </w:pPr>
            <w:r>
              <w:rPr>
                <w:rFonts w:asciiTheme="majorHAnsi" w:eastAsia="Times New Roman" w:hAnsiTheme="majorHAnsi" w:cstheme="minorHAnsi"/>
                <w:b/>
                <w:bCs/>
                <w:color w:val="000000"/>
                <w:bdr w:val="none" w:sz="0" w:space="0" w:color="auto" w:frame="1"/>
              </w:rPr>
              <w:t>Aug 1</w:t>
            </w:r>
            <w:r w:rsidR="00B626D6">
              <w:rPr>
                <w:rFonts w:asciiTheme="majorHAnsi" w:eastAsia="Times New Roman" w:hAnsiTheme="majorHAnsi" w:cstheme="minorHAnsi"/>
                <w:b/>
                <w:bCs/>
                <w:color w:val="000000"/>
                <w:bdr w:val="none" w:sz="0" w:space="0" w:color="auto" w:frame="1"/>
              </w:rPr>
              <w:t>0</w:t>
            </w:r>
          </w:p>
        </w:tc>
      </w:tr>
      <w:tr w:rsidR="008634C5" w:rsidRPr="00F95A3D" w14:paraId="4427BD55" w14:textId="6E2232C4" w:rsidTr="008634C5">
        <w:trPr>
          <w:jc w:val="center"/>
        </w:trPr>
        <w:tc>
          <w:tcPr>
            <w:tcW w:w="728" w:type="pct"/>
            <w:shd w:val="clear" w:color="auto" w:fill="auto"/>
            <w:vAlign w:val="center"/>
          </w:tcPr>
          <w:p w14:paraId="4427BD53"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196A7EB"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766" w:type="pct"/>
          </w:tcPr>
          <w:p w14:paraId="765C5DE6" w14:textId="5D204FB9" w:rsidR="008634C5" w:rsidRDefault="00341E1D" w:rsidP="008634C5">
            <w:pPr>
              <w:shd w:val="clear" w:color="auto" w:fill="F4F4F4"/>
              <w:spacing w:after="0" w:line="240" w:lineRule="auto"/>
              <w:ind w:left="360"/>
              <w:jc w:val="center"/>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Aug 1</w:t>
            </w:r>
            <w:r w:rsidR="00B626D6">
              <w:rPr>
                <w:rFonts w:asciiTheme="majorHAnsi" w:eastAsia="Times New Roman" w:hAnsiTheme="majorHAnsi" w:cstheme="minorHAnsi"/>
                <w:b/>
                <w:bCs/>
                <w:color w:val="000000"/>
                <w:bdr w:val="none" w:sz="0" w:space="0" w:color="auto" w:frame="1"/>
                <w:shd w:val="clear" w:color="auto" w:fill="FFFFFF"/>
              </w:rPr>
              <w:t>7</w:t>
            </w:r>
          </w:p>
          <w:p w14:paraId="69CA9669" w14:textId="77777777" w:rsidR="008634C5" w:rsidRPr="00664387" w:rsidRDefault="008634C5" w:rsidP="008634C5">
            <w:pPr>
              <w:spacing w:after="0" w:line="240" w:lineRule="auto"/>
              <w:ind w:left="360"/>
              <w:jc w:val="center"/>
              <w:rPr>
                <w:rFonts w:ascii="Verdana" w:eastAsia="Times New Roman" w:hAnsi="Verdana" w:cs="Times New Roman"/>
                <w:b/>
              </w:rPr>
            </w:pPr>
          </w:p>
        </w:tc>
      </w:tr>
      <w:tr w:rsidR="008634C5" w:rsidRPr="00F95A3D" w14:paraId="4427BD58" w14:textId="48167B45" w:rsidTr="008634C5">
        <w:trPr>
          <w:jc w:val="center"/>
        </w:trPr>
        <w:tc>
          <w:tcPr>
            <w:tcW w:w="728" w:type="pct"/>
            <w:shd w:val="clear" w:color="auto" w:fill="auto"/>
            <w:vAlign w:val="center"/>
          </w:tcPr>
          <w:p w14:paraId="4427BD56"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51FC17B3"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766" w:type="pct"/>
          </w:tcPr>
          <w:p w14:paraId="423AA5C6" w14:textId="6D1794F0" w:rsidR="008634C5" w:rsidRPr="00664387" w:rsidRDefault="00341E1D" w:rsidP="008634C5">
            <w:pPr>
              <w:spacing w:after="0" w:line="240" w:lineRule="auto"/>
              <w:ind w:left="360"/>
              <w:jc w:val="center"/>
              <w:rPr>
                <w:rFonts w:ascii="Verdana" w:eastAsia="Times New Roman" w:hAnsi="Verdana" w:cs="Times New Roman"/>
                <w:b/>
              </w:rPr>
            </w:pPr>
            <w:r>
              <w:rPr>
                <w:rStyle w:val="Strong"/>
                <w:rFonts w:asciiTheme="majorHAnsi" w:hAnsiTheme="majorHAnsi" w:cstheme="minorHAnsi"/>
                <w:color w:val="333333"/>
                <w:bdr w:val="none" w:sz="0" w:space="0" w:color="auto" w:frame="1"/>
                <w:shd w:val="clear" w:color="auto" w:fill="FFFFFF"/>
              </w:rPr>
              <w:t>Aug 2</w:t>
            </w:r>
            <w:r w:rsidR="00B626D6">
              <w:rPr>
                <w:rStyle w:val="Strong"/>
                <w:rFonts w:asciiTheme="majorHAnsi" w:hAnsiTheme="majorHAnsi" w:cstheme="minorHAnsi"/>
                <w:color w:val="333333"/>
                <w:bdr w:val="none" w:sz="0" w:space="0" w:color="auto" w:frame="1"/>
                <w:shd w:val="clear" w:color="auto" w:fill="FFFFFF"/>
              </w:rPr>
              <w:t>4</w:t>
            </w:r>
          </w:p>
        </w:tc>
      </w:tr>
      <w:tr w:rsidR="008634C5" w:rsidRPr="00F95A3D" w14:paraId="4427BD5B" w14:textId="5D95DD68" w:rsidTr="008634C5">
        <w:trPr>
          <w:jc w:val="center"/>
        </w:trPr>
        <w:tc>
          <w:tcPr>
            <w:tcW w:w="728" w:type="pct"/>
            <w:shd w:val="clear" w:color="auto" w:fill="auto"/>
            <w:vAlign w:val="center"/>
          </w:tcPr>
          <w:p w14:paraId="4427BD59"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6" w:type="pct"/>
          </w:tcPr>
          <w:p w14:paraId="2EDB64E3" w14:textId="1989191C" w:rsidR="008634C5" w:rsidRPr="00664387" w:rsidRDefault="00383404" w:rsidP="008634C5">
            <w:pPr>
              <w:spacing w:after="0" w:line="240" w:lineRule="auto"/>
              <w:ind w:left="360"/>
              <w:jc w:val="center"/>
              <w:rPr>
                <w:rFonts w:ascii="Verdana" w:eastAsia="Times New Roman" w:hAnsi="Verdana" w:cs="Times New Roman"/>
              </w:rPr>
            </w:pPr>
            <w:r>
              <w:rPr>
                <w:rStyle w:val="Strong"/>
                <w:rFonts w:asciiTheme="majorHAnsi" w:hAnsiTheme="majorHAnsi" w:cs="Arial"/>
                <w:color w:val="333333"/>
                <w:bdr w:val="none" w:sz="0" w:space="0" w:color="auto" w:frame="1"/>
                <w:shd w:val="clear" w:color="auto" w:fill="FFFFFF"/>
              </w:rPr>
              <w:t>Aug 2</w:t>
            </w:r>
            <w:r w:rsidR="00B626D6">
              <w:rPr>
                <w:rStyle w:val="Strong"/>
                <w:rFonts w:asciiTheme="majorHAnsi" w:hAnsiTheme="majorHAnsi" w:cs="Arial"/>
                <w:color w:val="333333"/>
                <w:bdr w:val="none" w:sz="0" w:space="0" w:color="auto" w:frame="1"/>
                <w:shd w:val="clear" w:color="auto" w:fill="FFFFFF"/>
              </w:rPr>
              <w:t>8</w:t>
            </w:r>
            <w:r>
              <w:rPr>
                <w:rStyle w:val="Strong"/>
                <w:rFonts w:asciiTheme="majorHAnsi" w:hAnsiTheme="majorHAnsi" w:cs="Arial"/>
                <w:color w:val="333333"/>
                <w:bdr w:val="none" w:sz="0" w:space="0" w:color="auto" w:frame="1"/>
                <w:shd w:val="clear" w:color="auto" w:fill="FFFFFF"/>
              </w:rPr>
              <w:t>-</w:t>
            </w:r>
            <w:r w:rsidR="00B626D6">
              <w:rPr>
                <w:rStyle w:val="Strong"/>
                <w:rFonts w:asciiTheme="majorHAnsi" w:hAnsiTheme="majorHAnsi" w:cs="Arial"/>
                <w:color w:val="333333"/>
                <w:bdr w:val="none" w:sz="0" w:space="0" w:color="auto" w:frame="1"/>
                <w:shd w:val="clear" w:color="auto" w:fill="FFFFFF"/>
              </w:rPr>
              <w:t>Aug 30</w:t>
            </w:r>
          </w:p>
        </w:tc>
      </w:tr>
      <w:tr w:rsidR="008634C5" w:rsidRPr="00F95A3D" w14:paraId="4427BD5E" w14:textId="2F649652" w:rsidTr="008634C5">
        <w:trPr>
          <w:jc w:val="center"/>
        </w:trPr>
        <w:tc>
          <w:tcPr>
            <w:tcW w:w="728" w:type="pct"/>
            <w:shd w:val="clear" w:color="auto" w:fill="auto"/>
            <w:vAlign w:val="center"/>
          </w:tcPr>
          <w:p w14:paraId="4427BD5C"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83CD53F"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766" w:type="pct"/>
          </w:tcPr>
          <w:p w14:paraId="4F148CEA" w14:textId="60F29AD9" w:rsidR="008634C5" w:rsidRPr="00664387" w:rsidRDefault="00383404" w:rsidP="008634C5">
            <w:pPr>
              <w:spacing w:after="0" w:line="240" w:lineRule="auto"/>
              <w:ind w:left="360"/>
              <w:jc w:val="center"/>
              <w:rPr>
                <w:rFonts w:ascii="Verdana" w:eastAsia="Times New Roman" w:hAnsi="Verdana" w:cs="Times New Roman"/>
                <w:b/>
              </w:rPr>
            </w:pPr>
            <w:r>
              <w:rPr>
                <w:rStyle w:val="Strong"/>
                <w:rFonts w:asciiTheme="majorHAnsi" w:hAnsiTheme="majorHAnsi" w:cs="Arial"/>
                <w:color w:val="333333"/>
                <w:bdr w:val="none" w:sz="0" w:space="0" w:color="auto" w:frame="1"/>
                <w:shd w:val="clear" w:color="auto" w:fill="FFFFFF"/>
              </w:rPr>
              <w:t xml:space="preserve">Sept </w:t>
            </w:r>
            <w:r w:rsidR="00B626D6">
              <w:rPr>
                <w:rStyle w:val="Strong"/>
                <w:rFonts w:asciiTheme="majorHAnsi" w:hAnsiTheme="majorHAnsi" w:cs="Arial"/>
                <w:color w:val="333333"/>
                <w:bdr w:val="none" w:sz="0" w:space="0" w:color="auto" w:frame="1"/>
                <w:shd w:val="clear" w:color="auto" w:fill="FFFFFF"/>
              </w:rPr>
              <w:t>7</w:t>
            </w:r>
          </w:p>
        </w:tc>
      </w:tr>
      <w:tr w:rsidR="008634C5" w:rsidRPr="00F95A3D" w14:paraId="4427BD61" w14:textId="11A649DC" w:rsidTr="008634C5">
        <w:trPr>
          <w:jc w:val="center"/>
        </w:trPr>
        <w:tc>
          <w:tcPr>
            <w:tcW w:w="728" w:type="pct"/>
            <w:shd w:val="clear" w:color="auto" w:fill="auto"/>
            <w:vAlign w:val="center"/>
          </w:tcPr>
          <w:p w14:paraId="4427BD5F"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3A66D7F8"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766" w:type="pct"/>
          </w:tcPr>
          <w:p w14:paraId="4D50F5B4" w14:textId="5B857152" w:rsidR="008634C5" w:rsidRPr="00664387" w:rsidRDefault="00383404" w:rsidP="008634C5">
            <w:pPr>
              <w:spacing w:after="0" w:line="240" w:lineRule="auto"/>
              <w:ind w:left="360"/>
              <w:jc w:val="center"/>
              <w:rPr>
                <w:rFonts w:ascii="Verdana" w:eastAsia="Times New Roman" w:hAnsi="Verdana" w:cs="Times New Roman"/>
                <w:b/>
              </w:rPr>
            </w:pPr>
            <w:r>
              <w:rPr>
                <w:rFonts w:asciiTheme="majorHAnsi" w:eastAsia="Times New Roman" w:hAnsiTheme="majorHAnsi" w:cs="Arial"/>
                <w:b/>
                <w:bCs/>
                <w:color w:val="333333"/>
                <w:bdr w:val="none" w:sz="0" w:space="0" w:color="auto" w:frame="1"/>
                <w:shd w:val="clear" w:color="auto" w:fill="FFFFFF"/>
              </w:rPr>
              <w:t>Sept 1</w:t>
            </w:r>
            <w:r w:rsidR="00B626D6">
              <w:rPr>
                <w:rFonts w:asciiTheme="majorHAnsi" w:eastAsia="Times New Roman" w:hAnsiTheme="majorHAnsi" w:cs="Arial"/>
                <w:b/>
                <w:bCs/>
                <w:color w:val="333333"/>
                <w:bdr w:val="none" w:sz="0" w:space="0" w:color="auto" w:frame="1"/>
                <w:shd w:val="clear" w:color="auto" w:fill="FFFFFF"/>
              </w:rPr>
              <w:t>4</w:t>
            </w:r>
          </w:p>
        </w:tc>
      </w:tr>
      <w:tr w:rsidR="008634C5" w:rsidRPr="00F95A3D" w14:paraId="4427BD64" w14:textId="5BE5040F" w:rsidTr="008634C5">
        <w:trPr>
          <w:jc w:val="center"/>
        </w:trPr>
        <w:tc>
          <w:tcPr>
            <w:tcW w:w="728" w:type="pct"/>
            <w:shd w:val="clear" w:color="auto" w:fill="auto"/>
            <w:vAlign w:val="center"/>
          </w:tcPr>
          <w:p w14:paraId="4427BD62"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4427BD63" w14:textId="1678254E"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766" w:type="pct"/>
          </w:tcPr>
          <w:p w14:paraId="27E5FADF" w14:textId="603504EE" w:rsidR="008634C5" w:rsidRPr="00664387" w:rsidRDefault="00383404" w:rsidP="008634C5">
            <w:pPr>
              <w:spacing w:after="0" w:line="240" w:lineRule="auto"/>
              <w:ind w:left="360"/>
              <w:jc w:val="center"/>
              <w:rPr>
                <w:rFonts w:ascii="Verdana" w:eastAsia="Times New Roman" w:hAnsi="Verdana" w:cs="Times New Roman"/>
                <w:b/>
              </w:rPr>
            </w:pPr>
            <w:r>
              <w:rPr>
                <w:rStyle w:val="Strong"/>
                <w:rFonts w:asciiTheme="majorHAnsi" w:hAnsiTheme="majorHAnsi" w:cs="Arial"/>
                <w:color w:val="333333"/>
                <w:bdr w:val="none" w:sz="0" w:space="0" w:color="auto" w:frame="1"/>
                <w:shd w:val="clear" w:color="auto" w:fill="FFFFFF"/>
              </w:rPr>
              <w:t>Sept 2</w:t>
            </w:r>
            <w:r w:rsidR="00B626D6">
              <w:rPr>
                <w:rStyle w:val="Strong"/>
                <w:rFonts w:asciiTheme="majorHAnsi" w:hAnsiTheme="majorHAnsi" w:cs="Arial"/>
                <w:color w:val="333333"/>
                <w:bdr w:val="none" w:sz="0" w:space="0" w:color="auto" w:frame="1"/>
                <w:shd w:val="clear" w:color="auto" w:fill="FFFFFF"/>
              </w:rPr>
              <w:t>1</w:t>
            </w:r>
          </w:p>
        </w:tc>
      </w:tr>
      <w:tr w:rsidR="008634C5" w:rsidRPr="00F95A3D" w14:paraId="4427BD67" w14:textId="634D8A38" w:rsidTr="008634C5">
        <w:trPr>
          <w:jc w:val="center"/>
        </w:trPr>
        <w:tc>
          <w:tcPr>
            <w:tcW w:w="728" w:type="pct"/>
            <w:shd w:val="clear" w:color="auto" w:fill="auto"/>
            <w:vAlign w:val="center"/>
          </w:tcPr>
          <w:p w14:paraId="4427BD65"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6" w:type="pct"/>
          </w:tcPr>
          <w:p w14:paraId="7B4EA557" w14:textId="7D5F06A6" w:rsidR="008634C5" w:rsidRPr="00664387" w:rsidRDefault="00383404" w:rsidP="008634C5">
            <w:pPr>
              <w:spacing w:after="0" w:line="240" w:lineRule="auto"/>
              <w:ind w:left="360"/>
              <w:jc w:val="center"/>
              <w:rPr>
                <w:rFonts w:ascii="Verdana" w:eastAsia="Times New Roman" w:hAnsi="Verdana" w:cs="Times New Roman"/>
              </w:rPr>
            </w:pPr>
            <w:r>
              <w:rPr>
                <w:rStyle w:val="Strong"/>
                <w:rFonts w:asciiTheme="majorHAnsi" w:hAnsiTheme="majorHAnsi" w:cs="Arial"/>
                <w:color w:val="333333"/>
                <w:bdr w:val="none" w:sz="0" w:space="0" w:color="auto" w:frame="1"/>
                <w:shd w:val="clear" w:color="auto" w:fill="FFFFFF"/>
              </w:rPr>
              <w:t>Sept 2</w:t>
            </w:r>
            <w:r w:rsidR="00B626D6">
              <w:rPr>
                <w:rStyle w:val="Strong"/>
                <w:rFonts w:asciiTheme="majorHAnsi" w:hAnsiTheme="majorHAnsi" w:cs="Arial"/>
                <w:color w:val="333333"/>
                <w:bdr w:val="none" w:sz="0" w:space="0" w:color="auto" w:frame="1"/>
                <w:shd w:val="clear" w:color="auto" w:fill="FFFFFF"/>
              </w:rPr>
              <w:t>5</w:t>
            </w:r>
            <w:r>
              <w:rPr>
                <w:rStyle w:val="Strong"/>
                <w:rFonts w:asciiTheme="majorHAnsi" w:hAnsiTheme="majorHAnsi" w:cs="Arial"/>
                <w:color w:val="333333"/>
                <w:bdr w:val="none" w:sz="0" w:space="0" w:color="auto" w:frame="1"/>
                <w:shd w:val="clear" w:color="auto" w:fill="FFFFFF"/>
              </w:rPr>
              <w:t>-2</w:t>
            </w:r>
            <w:r w:rsidR="00B626D6">
              <w:rPr>
                <w:rStyle w:val="Strong"/>
                <w:rFonts w:asciiTheme="majorHAnsi" w:hAnsiTheme="majorHAnsi" w:cs="Arial"/>
                <w:color w:val="333333"/>
                <w:bdr w:val="none" w:sz="0" w:space="0" w:color="auto" w:frame="1"/>
                <w:shd w:val="clear" w:color="auto" w:fill="FFFFFF"/>
              </w:rPr>
              <w:t>8</w:t>
            </w:r>
            <w:bookmarkStart w:id="0" w:name="_GoBack"/>
            <w:bookmarkEnd w:id="0"/>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957AAD">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C2E07"/>
    <w:multiLevelType w:val="multilevel"/>
    <w:tmpl w:val="005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E6B82"/>
    <w:rsid w:val="00132D89"/>
    <w:rsid w:val="001352EC"/>
    <w:rsid w:val="00160D18"/>
    <w:rsid w:val="001679BF"/>
    <w:rsid w:val="0017791B"/>
    <w:rsid w:val="001A2A5F"/>
    <w:rsid w:val="001E26C5"/>
    <w:rsid w:val="00212F93"/>
    <w:rsid w:val="002431F2"/>
    <w:rsid w:val="00295AFA"/>
    <w:rsid w:val="002C57CB"/>
    <w:rsid w:val="002D018B"/>
    <w:rsid w:val="002D0684"/>
    <w:rsid w:val="00341E1D"/>
    <w:rsid w:val="003665D6"/>
    <w:rsid w:val="00383404"/>
    <w:rsid w:val="00393B8B"/>
    <w:rsid w:val="003A1703"/>
    <w:rsid w:val="003F3021"/>
    <w:rsid w:val="00400534"/>
    <w:rsid w:val="00422766"/>
    <w:rsid w:val="00466C97"/>
    <w:rsid w:val="004850F4"/>
    <w:rsid w:val="004952B4"/>
    <w:rsid w:val="00496CA2"/>
    <w:rsid w:val="004B0BD6"/>
    <w:rsid w:val="00584241"/>
    <w:rsid w:val="00592DE8"/>
    <w:rsid w:val="0059491B"/>
    <w:rsid w:val="005B4B97"/>
    <w:rsid w:val="005D1970"/>
    <w:rsid w:val="005D346F"/>
    <w:rsid w:val="005D4DF0"/>
    <w:rsid w:val="0063050D"/>
    <w:rsid w:val="00664387"/>
    <w:rsid w:val="006863A5"/>
    <w:rsid w:val="006A465F"/>
    <w:rsid w:val="006E14FA"/>
    <w:rsid w:val="007037E8"/>
    <w:rsid w:val="007055F5"/>
    <w:rsid w:val="007649BC"/>
    <w:rsid w:val="007D26D5"/>
    <w:rsid w:val="007F2CB8"/>
    <w:rsid w:val="00807DE4"/>
    <w:rsid w:val="00825828"/>
    <w:rsid w:val="00851CEB"/>
    <w:rsid w:val="008609A8"/>
    <w:rsid w:val="008634C5"/>
    <w:rsid w:val="00896ADA"/>
    <w:rsid w:val="008A0B91"/>
    <w:rsid w:val="0099662B"/>
    <w:rsid w:val="009A656C"/>
    <w:rsid w:val="009C43A1"/>
    <w:rsid w:val="009E081F"/>
    <w:rsid w:val="009F1C94"/>
    <w:rsid w:val="00A324B6"/>
    <w:rsid w:val="00A87E56"/>
    <w:rsid w:val="00AB5059"/>
    <w:rsid w:val="00B626D6"/>
    <w:rsid w:val="00B93731"/>
    <w:rsid w:val="00B93D5F"/>
    <w:rsid w:val="00BA30FA"/>
    <w:rsid w:val="00BE378B"/>
    <w:rsid w:val="00C10F8E"/>
    <w:rsid w:val="00C46398"/>
    <w:rsid w:val="00C513A9"/>
    <w:rsid w:val="00C56B25"/>
    <w:rsid w:val="00CC0844"/>
    <w:rsid w:val="00CD5BC6"/>
    <w:rsid w:val="00CD698C"/>
    <w:rsid w:val="00CE4AAD"/>
    <w:rsid w:val="00D2246D"/>
    <w:rsid w:val="00D808A0"/>
    <w:rsid w:val="00D92EC5"/>
    <w:rsid w:val="00DA152B"/>
    <w:rsid w:val="00DB7FF8"/>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4633">
      <w:bodyDiv w:val="1"/>
      <w:marLeft w:val="0"/>
      <w:marRight w:val="0"/>
      <w:marTop w:val="0"/>
      <w:marBottom w:val="0"/>
      <w:divBdr>
        <w:top w:val="none" w:sz="0" w:space="0" w:color="auto"/>
        <w:left w:val="none" w:sz="0" w:space="0" w:color="auto"/>
        <w:bottom w:val="none" w:sz="0" w:space="0" w:color="auto"/>
        <w:right w:val="none" w:sz="0" w:space="0" w:color="auto"/>
      </w:divBdr>
    </w:div>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87361541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6342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Professor:	 Linda Hutcherson-Beckel, Ed.D.</vt:lpstr>
      <vt:lpstr>        Phone: 	 (806) 336-5015-Cell    Email:  lindah@wbu.edu            </vt:lpstr>
      <vt:lpstr>        Office Hours: 8am-9pm Mon-Sat  Location: Home</vt:lpstr>
      <vt:lpstr>        Online Catalog Description:  EDUC 5384. Conflict Resolution - analysis of the na</vt:lpstr>
      <vt:lpstr>    IP	In Progress</vt:lpstr>
    </vt:vector>
  </TitlesOfParts>
  <Company>Wayland Baptist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Linda Hutcherson</dc:creator>
  <cp:lastModifiedBy>Linda Hutcherson</cp:lastModifiedBy>
  <cp:revision>3</cp:revision>
  <dcterms:created xsi:type="dcterms:W3CDTF">2023-04-03T23:16:00Z</dcterms:created>
  <dcterms:modified xsi:type="dcterms:W3CDTF">2023-04-03T23:19:00Z</dcterms:modified>
</cp:coreProperties>
</file>