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D144D2" w:rsidP="00E8791C">
      <w:pPr>
        <w:pStyle w:val="Heading1"/>
        <w:jc w:val="center"/>
      </w:pPr>
      <w:r>
        <w:rPr>
          <w:noProof/>
        </w:rPr>
        <w:drawing>
          <wp:inline distT="0" distB="0" distL="0" distR="0" wp14:anchorId="506945BD" wp14:editId="6BD621ED">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B93A0E"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B12A1" w:rsidP="00930EB6">
      <w:r>
        <w:t>HLAD 5337-</w:t>
      </w:r>
      <w:r w:rsidR="00B93A0E">
        <w:t>VC01</w:t>
      </w:r>
      <w:r>
        <w:t>, Health Care Law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93A0E"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B93A0E" w:rsidP="00930EB6">
      <w:r>
        <w:t>Lloyd L. Cannedy, Ph.D.,</w:t>
      </w:r>
    </w:p>
    <w:p w:rsidR="00417929" w:rsidRDefault="00B93A0E" w:rsidP="00930EB6">
      <w:r>
        <w:t>Professor</w:t>
      </w:r>
    </w:p>
    <w:p w:rsidR="00B93A0E" w:rsidRPr="00417929" w:rsidRDefault="00B93A0E"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B93A0E">
        <w:t>940-855-4322</w:t>
      </w:r>
    </w:p>
    <w:p w:rsidR="00417929" w:rsidRPr="00417929" w:rsidRDefault="00930EB6" w:rsidP="00930EB6">
      <w:r>
        <w:t xml:space="preserve">WBU </w:t>
      </w:r>
      <w:r w:rsidR="00417929" w:rsidRPr="00417929">
        <w:t xml:space="preserve">Email: </w:t>
      </w:r>
      <w:hyperlink r:id="rId7" w:history="1">
        <w:r w:rsidR="00B93A0E" w:rsidRPr="00CC3699">
          <w:rPr>
            <w:rStyle w:val="Hyperlink"/>
          </w:rPr>
          <w:t>lloyd.cannedy@wbu.edu</w:t>
        </w:r>
      </w:hyperlink>
      <w:r w:rsidR="00B93A0E">
        <w:t xml:space="preserve"> or </w:t>
      </w:r>
      <w:hyperlink r:id="rId8" w:history="1">
        <w:r w:rsidR="00B93A0E" w:rsidRPr="00CC3699">
          <w:rPr>
            <w:rStyle w:val="Hyperlink"/>
          </w:rPr>
          <w:t>CanCo1@hughes.net</w:t>
        </w:r>
      </w:hyperlink>
      <w:r w:rsidR="00B93A0E">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Default="008A3C8B" w:rsidP="00B93A0E">
      <w:pPr>
        <w:tabs>
          <w:tab w:val="center" w:pos="4680"/>
        </w:tabs>
        <w:suppressAutoHyphens/>
        <w:ind w:right="-360"/>
        <w:jc w:val="both"/>
        <w:rPr>
          <w:rFonts w:cstheme="minorHAnsi"/>
          <w:spacing w:val="-3"/>
        </w:rPr>
      </w:pPr>
      <w:r>
        <w:t xml:space="preserve">     </w:t>
      </w:r>
      <w:r w:rsidR="00B93A0E" w:rsidRPr="00A22CC6">
        <w:rPr>
          <w:rFonts w:cstheme="minorHAnsi"/>
          <w:bCs/>
        </w:rPr>
        <w:t>Wichita Falls Campus, Call Field Center, By Appointment</w:t>
      </w:r>
    </w:p>
    <w:p w:rsidR="00B93A0E" w:rsidRPr="00B93A0E" w:rsidRDefault="00B93A0E" w:rsidP="00B93A0E">
      <w:pPr>
        <w:tabs>
          <w:tab w:val="center" w:pos="4680"/>
        </w:tabs>
        <w:suppressAutoHyphens/>
        <w:ind w:right="-360"/>
        <w:jc w:val="both"/>
        <w:rPr>
          <w:rFonts w:cstheme="minorHAnsi"/>
          <w:spacing w:val="-3"/>
        </w:rPr>
      </w:pP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B93A0E" w:rsidRPr="00A22CC6" w:rsidRDefault="00930EB6" w:rsidP="00B93A0E">
      <w:pPr>
        <w:tabs>
          <w:tab w:val="center" w:pos="4680"/>
        </w:tabs>
        <w:suppressAutoHyphens/>
        <w:ind w:right="-360"/>
        <w:jc w:val="both"/>
        <w:rPr>
          <w:rFonts w:cstheme="minorHAnsi"/>
          <w:spacing w:val="-3"/>
        </w:rPr>
      </w:pPr>
      <w:r>
        <w:t>Meeting day &amp; time:</w:t>
      </w:r>
      <w:r w:rsidR="00B93A0E">
        <w:t xml:space="preserve"> </w:t>
      </w:r>
      <w:r w:rsidR="00B93A0E" w:rsidRPr="00A22CC6">
        <w:rPr>
          <w:rFonts w:cstheme="minorHAnsi"/>
        </w:rPr>
        <w:t xml:space="preserve">Meeting day &amp; time: </w:t>
      </w:r>
      <w:r w:rsidR="00B93A0E" w:rsidRPr="00A22CC6">
        <w:rPr>
          <w:rFonts w:cstheme="minorHAnsi"/>
          <w:spacing w:val="-3"/>
        </w:rPr>
        <w:t xml:space="preserve">Weekly, Monday – Sunday, Internet Blackboard, </w:t>
      </w:r>
      <w:hyperlink r:id="rId9" w:history="1">
        <w:r w:rsidR="00B93A0E" w:rsidRPr="00A22CC6">
          <w:rPr>
            <w:rStyle w:val="Hyperlink"/>
            <w:rFonts w:cstheme="minorHAnsi"/>
            <w:spacing w:val="-3"/>
          </w:rPr>
          <w:t>https://wbu.blackboard.com/</w:t>
        </w:r>
      </w:hyperlink>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B12A1" w:rsidRPr="005B237A" w:rsidRDefault="00A37EE0" w:rsidP="000B12A1">
      <w:pPr>
        <w:rPr>
          <w:rFonts w:ascii="Times New Roman" w:hAnsi="Times New Roman"/>
          <w:color w:val="000000"/>
          <w:sz w:val="22"/>
          <w:szCs w:val="22"/>
        </w:rPr>
      </w:pPr>
      <w:r>
        <w:rPr>
          <w:rFonts w:ascii="Times New Roman" w:hAnsi="Times New Roman"/>
          <w:spacing w:val="-3"/>
          <w:sz w:val="22"/>
          <w:szCs w:val="22"/>
        </w:rPr>
        <w:t>T</w:t>
      </w:r>
      <w:r w:rsidR="000B12A1">
        <w:rPr>
          <w:rFonts w:ascii="Times New Roman" w:hAnsi="Times New Roman"/>
          <w:spacing w:val="-3"/>
          <w:sz w:val="22"/>
          <w:szCs w:val="22"/>
        </w:rPr>
        <w:t>he s</w:t>
      </w:r>
      <w:r w:rsidR="000B12A1" w:rsidRPr="005B237A">
        <w:rPr>
          <w:rFonts w:ascii="Times New Roman" w:hAnsi="Times New Roman"/>
          <w:color w:val="000000"/>
          <w:sz w:val="22"/>
          <w:szCs w:val="22"/>
        </w:rPr>
        <w:t xml:space="preserve">tudy of tort law, criminal aspects of health care, contracts and antitrust law, civil procedure, corporate liability, medical staff and nursing law, medical record law, legal reporting obligations, procreation issues, patient rights laws, end of life issues, </w:t>
      </w:r>
      <w:r w:rsidR="000B12A1">
        <w:rPr>
          <w:rFonts w:ascii="Times New Roman" w:hAnsi="Times New Roman"/>
          <w:color w:val="000000"/>
          <w:sz w:val="22"/>
          <w:szCs w:val="22"/>
        </w:rPr>
        <w:t>HIV/AIDS law</w:t>
      </w:r>
      <w:r w:rsidR="000B12A1" w:rsidRPr="005B237A">
        <w:rPr>
          <w:rFonts w:ascii="Times New Roman" w:hAnsi="Times New Roman"/>
          <w:color w:val="000000"/>
          <w:sz w:val="22"/>
          <w:szCs w:val="22"/>
        </w:rPr>
        <w:t xml:space="preserve">, malpractice, labor relations laws, managed care, restructuring law, and tort reform law.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2A1" w:rsidRPr="000B12A1" w:rsidRDefault="000B12A1" w:rsidP="000B12A1">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4"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203"/>
        <w:gridCol w:w="1056"/>
        <w:gridCol w:w="483"/>
        <w:gridCol w:w="857"/>
        <w:gridCol w:w="1596"/>
        <w:gridCol w:w="1805"/>
        <w:gridCol w:w="1221"/>
      </w:tblGrid>
      <w:tr w:rsidR="000B12A1" w:rsidRPr="00576DFA" w:rsidTr="00675477">
        <w:trPr>
          <w:tblCellSpacing w:w="15" w:type="dxa"/>
          <w:jc w:val="center"/>
        </w:trPr>
        <w:tc>
          <w:tcPr>
            <w:tcW w:w="11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rPr>
                <w:rFonts w:ascii="Times New Roman" w:hAnsi="Times New Roman"/>
                <w:b/>
                <w:bCs/>
                <w:color w:val="000066"/>
                <w:sz w:val="22"/>
                <w:szCs w:val="22"/>
              </w:rPr>
            </w:pPr>
            <w:r w:rsidRPr="00576DFA">
              <w:rPr>
                <w:rFonts w:ascii="Times New Roman" w:hAnsi="Times New Roman"/>
                <w:b/>
                <w:bCs/>
                <w:color w:val="000066"/>
                <w:sz w:val="22"/>
                <w:szCs w:val="22"/>
              </w:rPr>
              <w:t>BOOK</w:t>
            </w:r>
          </w:p>
        </w:tc>
        <w:tc>
          <w:tcPr>
            <w:tcW w:w="5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AUTHOR</w:t>
            </w:r>
          </w:p>
        </w:tc>
        <w:tc>
          <w:tcPr>
            <w:tcW w:w="2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ED</w:t>
            </w:r>
          </w:p>
        </w:tc>
        <w:tc>
          <w:tcPr>
            <w:tcW w:w="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YEAR</w:t>
            </w:r>
          </w:p>
        </w:tc>
        <w:tc>
          <w:tcPr>
            <w:tcW w:w="8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PUBLISHER</w:t>
            </w:r>
          </w:p>
        </w:tc>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ISBN#</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UPDATED</w:t>
            </w:r>
          </w:p>
        </w:tc>
      </w:tr>
      <w:tr w:rsidR="000B12A1" w:rsidRPr="002867AE" w:rsidTr="00675477">
        <w:trPr>
          <w:tblCellSpacing w:w="15" w:type="dxa"/>
          <w:jc w:val="center"/>
        </w:trPr>
        <w:tc>
          <w:tcPr>
            <w:tcW w:w="11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675477">
            <w:pPr>
              <w:rPr>
                <w:rFonts w:ascii="Times New Roman" w:hAnsi="Times New Roman"/>
                <w:sz w:val="20"/>
              </w:rPr>
            </w:pPr>
            <w:r w:rsidRPr="002867AE">
              <w:rPr>
                <w:rFonts w:ascii="Times New Roman" w:hAnsi="Times New Roman"/>
                <w:sz w:val="20"/>
                <w:u w:val="single"/>
              </w:rPr>
              <w:t xml:space="preserve">Legal Aspects of Health Care Administration </w:t>
            </w:r>
          </w:p>
        </w:tc>
        <w:tc>
          <w:tcPr>
            <w:tcW w:w="5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675477">
            <w:pPr>
              <w:jc w:val="center"/>
              <w:rPr>
                <w:rFonts w:ascii="Times New Roman" w:hAnsi="Times New Roman"/>
                <w:sz w:val="20"/>
              </w:rPr>
            </w:pPr>
            <w:r w:rsidRPr="002867AE">
              <w:rPr>
                <w:rFonts w:ascii="Times New Roman" w:hAnsi="Times New Roman"/>
                <w:sz w:val="20"/>
              </w:rPr>
              <w:t>Pozgar</w:t>
            </w:r>
          </w:p>
        </w:tc>
        <w:tc>
          <w:tcPr>
            <w:tcW w:w="2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4A1594">
            <w:pPr>
              <w:jc w:val="center"/>
              <w:rPr>
                <w:rFonts w:ascii="Times New Roman" w:hAnsi="Times New Roman"/>
                <w:sz w:val="20"/>
              </w:rPr>
            </w:pPr>
            <w:r w:rsidRPr="002867AE">
              <w:rPr>
                <w:rFonts w:ascii="Times New Roman" w:hAnsi="Times New Roman"/>
                <w:sz w:val="20"/>
              </w:rPr>
              <w:t>1</w:t>
            </w:r>
            <w:r w:rsidR="004A1594">
              <w:rPr>
                <w:rFonts w:ascii="Times New Roman" w:hAnsi="Times New Roman"/>
                <w:sz w:val="20"/>
              </w:rPr>
              <w:t>3</w:t>
            </w:r>
            <w:r w:rsidRPr="002867AE">
              <w:rPr>
                <w:rFonts w:ascii="Times New Roman" w:hAnsi="Times New Roman"/>
                <w:sz w:val="20"/>
              </w:rPr>
              <w:t>th</w:t>
            </w:r>
          </w:p>
        </w:tc>
        <w:tc>
          <w:tcPr>
            <w:tcW w:w="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4A1594">
            <w:pPr>
              <w:jc w:val="center"/>
              <w:rPr>
                <w:rFonts w:ascii="Times New Roman" w:hAnsi="Times New Roman"/>
                <w:sz w:val="20"/>
              </w:rPr>
            </w:pPr>
            <w:r w:rsidRPr="002867AE">
              <w:rPr>
                <w:rFonts w:ascii="Times New Roman" w:hAnsi="Times New Roman"/>
                <w:sz w:val="20"/>
              </w:rPr>
              <w:t>201</w:t>
            </w:r>
            <w:r w:rsidR="004A1594">
              <w:rPr>
                <w:rFonts w:ascii="Times New Roman" w:hAnsi="Times New Roman"/>
                <w:sz w:val="20"/>
              </w:rPr>
              <w:t>9</w:t>
            </w:r>
          </w:p>
        </w:tc>
        <w:tc>
          <w:tcPr>
            <w:tcW w:w="8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675477">
            <w:pPr>
              <w:jc w:val="center"/>
              <w:rPr>
                <w:rFonts w:ascii="Times New Roman" w:hAnsi="Times New Roman"/>
                <w:sz w:val="20"/>
              </w:rPr>
            </w:pPr>
            <w:r w:rsidRPr="002867AE">
              <w:rPr>
                <w:rFonts w:ascii="Times New Roman" w:hAnsi="Times New Roman"/>
                <w:sz w:val="20"/>
              </w:rPr>
              <w:t xml:space="preserve">Jones &amp; Bartlett </w:t>
            </w:r>
          </w:p>
        </w:tc>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4A1594">
            <w:pPr>
              <w:jc w:val="center"/>
              <w:rPr>
                <w:rFonts w:ascii="Times New Roman" w:hAnsi="Times New Roman"/>
                <w:sz w:val="20"/>
              </w:rPr>
            </w:pPr>
            <w:r w:rsidRPr="002867AE">
              <w:rPr>
                <w:rFonts w:ascii="Times New Roman" w:hAnsi="Times New Roman"/>
                <w:sz w:val="20"/>
              </w:rPr>
              <w:t> 9781-</w:t>
            </w:r>
            <w:r w:rsidR="004A1594">
              <w:rPr>
                <w:rFonts w:ascii="Times New Roman" w:hAnsi="Times New Roman"/>
                <w:sz w:val="20"/>
              </w:rPr>
              <w:t>28412-7171</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4A1594" w:rsidP="00675477">
            <w:pPr>
              <w:jc w:val="center"/>
              <w:rPr>
                <w:rFonts w:ascii="Times New Roman" w:hAnsi="Times New Roman"/>
                <w:sz w:val="20"/>
              </w:rPr>
            </w:pPr>
            <w:r>
              <w:rPr>
                <w:rFonts w:ascii="Times New Roman" w:hAnsi="Times New Roman"/>
                <w:sz w:val="20"/>
              </w:rPr>
              <w:t>10/1/18</w:t>
            </w:r>
          </w:p>
        </w:tc>
      </w:tr>
    </w:tbl>
    <w:p w:rsidR="00B93A0E" w:rsidRDefault="00B93A0E" w:rsidP="00FC0BCF">
      <w:pPr>
        <w:rPr>
          <w:rFonts w:ascii="Calibri" w:hAnsi="Calibri" w:cs="Calibri"/>
          <w:color w:val="282828"/>
        </w:rPr>
      </w:pPr>
    </w:p>
    <w:p w:rsidR="0075559E" w:rsidRDefault="0075559E" w:rsidP="0075559E">
      <w:pPr>
        <w:spacing w:before="100" w:beforeAutospacing="1" w:after="100" w:afterAutospacing="1" w:line="240" w:lineRule="auto"/>
        <w:rPr>
          <w:rFonts w:ascii="wf_segoe-ui_normal" w:eastAsia="Times New Roman" w:hAnsi="wf_segoe-ui_normal" w:cs="Times New Roman"/>
        </w:rPr>
      </w:pPr>
      <w:r>
        <w:rPr>
          <w:rFonts w:ascii="Times New Roman" w:eastAsia="Times New Roman" w:hAnsi="Times New Roman" w:cs="Times New Roman"/>
          <w:b/>
          <w:bCs/>
          <w:i/>
          <w:iCs/>
          <w:sz w:val="22"/>
          <w:szCs w:val="22"/>
          <w:u w:val="single"/>
          <w:shd w:val="clear" w:color="auto" w:fill="FFFF00"/>
        </w:rPr>
        <w:t>NOTE:</w:t>
      </w:r>
      <w:r>
        <w:rPr>
          <w:rFonts w:ascii="Times New Roman" w:eastAsia="Times New Roman" w:hAnsi="Times New Roman" w:cs="Times New Roman"/>
          <w:i/>
          <w:iCs/>
          <w:sz w:val="22"/>
          <w:szCs w:val="22"/>
          <w:shd w:val="clear" w:color="auto" w:fill="FFFF00"/>
        </w:rPr>
        <w:t xml:space="preserve">   VitalSource </w:t>
      </w:r>
      <w:proofErr w:type="spellStart"/>
      <w:r>
        <w:rPr>
          <w:rFonts w:ascii="Times New Roman" w:eastAsia="Times New Roman" w:hAnsi="Times New Roman" w:cs="Times New Roman"/>
          <w:i/>
          <w:iCs/>
          <w:sz w:val="22"/>
          <w:szCs w:val="22"/>
          <w:shd w:val="clear" w:color="auto" w:fill="FFFF00"/>
        </w:rPr>
        <w:t>etextbook</w:t>
      </w:r>
      <w:proofErr w:type="spellEnd"/>
      <w:r>
        <w:rPr>
          <w:rFonts w:ascii="Times New Roman" w:eastAsia="Times New Roman" w:hAnsi="Times New Roman" w:cs="Times New Roman"/>
          <w:i/>
          <w:iCs/>
          <w:sz w:val="22"/>
          <w:szCs w:val="22"/>
          <w:shd w:val="clear" w:color="auto" w:fill="FFFF00"/>
        </w:rPr>
        <w:t>.</w:t>
      </w:r>
    </w:p>
    <w:p w:rsidR="0075559E" w:rsidRDefault="0075559E" w:rsidP="0075559E">
      <w:pPr>
        <w:pStyle w:val="NoSpacing"/>
      </w:pPr>
      <w:r>
        <w:t>Please keep in mind that VitalSource has to work with publishers to get your student copy so check your Wayland email daily.  A link may be provided in just a few hours, or it may take a few days.  For student access:</w:t>
      </w:r>
    </w:p>
    <w:p w:rsidR="0075559E" w:rsidRDefault="0075559E" w:rsidP="0075559E">
      <w:pPr>
        <w:pStyle w:val="NoSpacing"/>
      </w:pPr>
      <w:r>
        <w:rPr>
          <w:rFonts w:ascii="Calibri" w:hAnsi="Calibri" w:cs="Calibri"/>
        </w:rPr>
        <w:t>1.</w:t>
      </w:r>
      <w:r>
        <w:rPr>
          <w:rFonts w:ascii="Times New Roman" w:hAnsi="Times New Roman"/>
          <w:sz w:val="14"/>
          <w:szCs w:val="14"/>
        </w:rPr>
        <w:t xml:space="preserve">       </w:t>
      </w:r>
      <w:r>
        <w:t xml:space="preserve">Every Course in Blackboard has a link to </w:t>
      </w:r>
      <w:proofErr w:type="spellStart"/>
      <w:r>
        <w:t>eTextbook</w:t>
      </w:r>
      <w:proofErr w:type="spellEnd"/>
      <w:r>
        <w:t xml:space="preserve"> [Vital Source] embedded in the course menu, with basic instructions.</w:t>
      </w:r>
    </w:p>
    <w:p w:rsidR="0075559E" w:rsidRDefault="0075559E" w:rsidP="0075559E">
      <w:pPr>
        <w:pStyle w:val="NoSpacing"/>
      </w:pPr>
      <w:r>
        <w:rPr>
          <w:rFonts w:ascii="Calibri" w:hAnsi="Calibri" w:cs="Calibri"/>
        </w:rPr>
        <w:t>2.</w:t>
      </w:r>
      <w:r>
        <w:rPr>
          <w:rFonts w:ascii="Times New Roman" w:hAnsi="Times New Roman"/>
          <w:sz w:val="14"/>
          <w:szCs w:val="14"/>
        </w:rPr>
        <w:t xml:space="preserve">       </w:t>
      </w:r>
      <w:r>
        <w:t>Wayland encourages use of this textbook.  Printed copies will NOT be available through our bookstore.  Students can purchase via Amazon or similar vendor but the cost is usually substantially more expensive.</w:t>
      </w:r>
    </w:p>
    <w:p w:rsidR="0075559E" w:rsidRDefault="0075559E" w:rsidP="0075559E">
      <w:pPr>
        <w:pStyle w:val="NoSpacing"/>
      </w:pPr>
      <w:r>
        <w:t>3</w:t>
      </w:r>
      <w:r>
        <w:rPr>
          <w:rFonts w:ascii="Calibri" w:hAnsi="Calibri" w:cs="Calibri"/>
        </w:rPr>
        <w:t>.</w:t>
      </w:r>
      <w:r>
        <w:rPr>
          <w:rFonts w:ascii="Times New Roman" w:hAnsi="Times New Roman"/>
          <w:sz w:val="14"/>
          <w:szCs w:val="14"/>
        </w:rPr>
        <w:t xml:space="preserve">       </w:t>
      </w:r>
      <w:r>
        <w:t>Student will “register”, just like the Professor, to access their library.</w:t>
      </w:r>
    </w:p>
    <w:p w:rsidR="0075559E" w:rsidRDefault="0075559E" w:rsidP="0075559E">
      <w:pPr>
        <w:pStyle w:val="NoSpacing"/>
      </w:pPr>
      <w:r>
        <w:rPr>
          <w:rFonts w:ascii="Calibri" w:hAnsi="Calibri" w:cs="Calibri"/>
        </w:rPr>
        <w:t>4.</w:t>
      </w:r>
      <w:r>
        <w:rPr>
          <w:rFonts w:ascii="Times New Roman" w:hAnsi="Times New Roman"/>
          <w:sz w:val="14"/>
          <w:szCs w:val="14"/>
        </w:rPr>
        <w:t xml:space="preserve">       </w:t>
      </w:r>
      <w:r>
        <w:t>They will be able to read and interact with their textbook from that location.</w:t>
      </w:r>
    </w:p>
    <w:p w:rsidR="0075559E" w:rsidRDefault="0075559E" w:rsidP="0075559E">
      <w:pPr>
        <w:pStyle w:val="NoSpacing"/>
      </w:pPr>
      <w:r>
        <w:rPr>
          <w:rFonts w:ascii="Calibri" w:hAnsi="Calibri" w:cs="Calibri"/>
        </w:rPr>
        <w:t>5.</w:t>
      </w:r>
      <w:r>
        <w:rPr>
          <w:rFonts w:ascii="Times New Roman" w:hAnsi="Times New Roman"/>
          <w:sz w:val="14"/>
          <w:szCs w:val="14"/>
        </w:rPr>
        <w:t xml:space="preserve">       </w:t>
      </w:r>
      <w:r>
        <w:rPr>
          <w:rFonts w:ascii="Calibri" w:hAnsi="Calibri" w:cs="Calibri"/>
          <w:color w:val="FF0000"/>
        </w:rPr>
        <w:t xml:space="preserve">IF your course is a Cengage, Pearson, Norton with “access” to special materials </w:t>
      </w:r>
      <w:r>
        <w:t>[</w:t>
      </w:r>
      <w:proofErr w:type="spellStart"/>
      <w:r>
        <w:t>MyLab</w:t>
      </w:r>
      <w:proofErr w:type="spellEnd"/>
      <w:r>
        <w:t xml:space="preserve">, </w:t>
      </w:r>
      <w:proofErr w:type="spellStart"/>
      <w:r>
        <w:t>Mindtap</w:t>
      </w:r>
      <w:proofErr w:type="spellEnd"/>
      <w:r>
        <w:t xml:space="preserve">, special assignments, accounting, etc.] the Professor will set up the links to that in your Blackboard Classroom to be available on Day 1.  Students pay for the textbook and access via VitalSource but will need that special link to the special materials they need to access.  </w:t>
      </w:r>
      <w:proofErr w:type="spellStart"/>
      <w:r>
        <w:t>WBUonline</w:t>
      </w:r>
      <w:proofErr w:type="spellEnd"/>
      <w:r>
        <w:t xml:space="preserve"> can assist the student with this if help is needed.</w:t>
      </w:r>
    </w:p>
    <w:p w:rsidR="00445D8C" w:rsidRDefault="00445D8C" w:rsidP="00FC0BCF"/>
    <w:p w:rsidR="009B2637" w:rsidRPr="009B2637" w:rsidRDefault="00FC0BCF" w:rsidP="009B2637">
      <w:pPr>
        <w:rPr>
          <w:rFonts w:cstheme="minorHAnsi"/>
          <w:spacing w:val="-3"/>
        </w:rPr>
      </w:pPr>
      <w:r>
        <w:t>12. O</w:t>
      </w:r>
      <w:r w:rsidR="009B2637">
        <w:t>THER REQUIRED</w:t>
      </w:r>
      <w:r>
        <w:t xml:space="preserve"> MATERIALS</w:t>
      </w:r>
      <w:r w:rsidR="009B2637">
        <w:t xml:space="preserve">: </w:t>
      </w:r>
      <w:r w:rsidR="009B2637" w:rsidRPr="009B2637">
        <w:rPr>
          <w:rFonts w:cstheme="minorHAnsi"/>
          <w:spacing w:val="-3"/>
        </w:rPr>
        <w:t xml:space="preserve">Internet Access, Microsoft Word and PowerPoint, and a valid Wayland Baptist University Email Account.  The book </w:t>
      </w:r>
      <w:r w:rsidR="009B2637" w:rsidRPr="009B2637">
        <w:rPr>
          <w:rFonts w:cstheme="minorHAnsi"/>
          <w:b/>
          <w:i/>
          <w:spacing w:val="-3"/>
          <w:u w:val="single"/>
        </w:rPr>
        <w:t>The Immortal Life of Henrietta Lacks</w:t>
      </w:r>
      <w:r w:rsidR="009B2637" w:rsidRPr="009B2637">
        <w:rPr>
          <w:rFonts w:cstheme="minorHAnsi"/>
          <w:spacing w:val="-3"/>
        </w:rPr>
        <w:t>, by Rebecca Skloot, ISBN 9781400052172, available at Amazon.com or your local bookstores.</w:t>
      </w:r>
    </w:p>
    <w:p w:rsidR="00FC0BCF" w:rsidRPr="00FC0BCF" w:rsidRDefault="00FC0BCF" w:rsidP="00FC0BCF">
      <w:pPr>
        <w:pStyle w:val="Heading1"/>
      </w:pP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B12A1" w:rsidRPr="009B2637" w:rsidRDefault="003C1BDD" w:rsidP="000B12A1">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B2637">
        <w:rPr>
          <w:rFonts w:cstheme="minorHAnsi"/>
          <w:spacing w:val="-3"/>
        </w:rPr>
        <w:t xml:space="preserve">Develop </w:t>
      </w:r>
      <w:r w:rsidR="000B12A1" w:rsidRPr="009B2637">
        <w:rPr>
          <w:rFonts w:cstheme="minorHAnsi"/>
          <w:spacing w:val="-3"/>
        </w:rPr>
        <w:t>understanding of the subject matter as presented in textbooks, class lectures, in-class discussions, and applicable handout materials such as: videos, resources from research, relevant outside class activities;</w:t>
      </w:r>
    </w:p>
    <w:p w:rsidR="000B12A1" w:rsidRPr="009B2637" w:rsidRDefault="003C1BDD" w:rsidP="000B12A1">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B2637">
        <w:rPr>
          <w:rFonts w:cstheme="minorHAnsi"/>
          <w:spacing w:val="-3"/>
        </w:rPr>
        <w:t>Compose</w:t>
      </w:r>
      <w:r w:rsidR="000B12A1" w:rsidRPr="009B2637">
        <w:rPr>
          <w:rFonts w:cstheme="minorHAnsi"/>
          <w:spacing w:val="-3"/>
        </w:rPr>
        <w:t xml:space="preserve"> well-reasoned logical arguments to support individual viewpoints and judicious use of relevant examples for reinforcement and/or clarification;</w:t>
      </w:r>
    </w:p>
    <w:p w:rsidR="000B12A1" w:rsidRPr="009B2637" w:rsidRDefault="003C1BDD" w:rsidP="000B12A1">
      <w:pPr>
        <w:pStyle w:val="ListParagraph"/>
        <w:numPr>
          <w:ilvl w:val="0"/>
          <w:numId w:val="2"/>
        </w:numPr>
        <w:rPr>
          <w:rFonts w:cstheme="minorHAnsi"/>
        </w:rPr>
      </w:pPr>
      <w:r w:rsidRPr="009B2637">
        <w:rPr>
          <w:rFonts w:cstheme="minorHAnsi"/>
          <w:spacing w:val="-3"/>
        </w:rPr>
        <w:t>Distinguish</w:t>
      </w:r>
      <w:r w:rsidR="000B12A1" w:rsidRPr="009B2637">
        <w:rPr>
          <w:rFonts w:cstheme="minorHAnsi"/>
          <w:spacing w:val="-3"/>
        </w:rPr>
        <w:t xml:space="preserve"> relevant issues, apply the appropriate measuring criteria or rule, objectively analyze the both the issue and the measuring criteria for applicability, formulate a reasonable outcome or conclusion, critically review the analytical process, and compare findings/outcomes to other existing, if not conflicting, standards</w:t>
      </w:r>
      <w:r w:rsidR="009B2637">
        <w:rPr>
          <w:rFonts w:cstheme="minorHAnsi"/>
          <w:spacing w:val="-3"/>
        </w:rPr>
        <w:t>.</w:t>
      </w:r>
    </w:p>
    <w:p w:rsidR="009B2637" w:rsidRPr="009B2637" w:rsidRDefault="009B2637" w:rsidP="009B2637">
      <w:pPr>
        <w:pStyle w:val="ListParagraph"/>
        <w:rPr>
          <w:rFonts w:cstheme="minorHAnsi"/>
        </w:rPr>
      </w:pPr>
    </w:p>
    <w:p w:rsidR="00417929" w:rsidRDefault="000B12A1" w:rsidP="00930EB6">
      <w:pPr>
        <w:pStyle w:val="Heading1"/>
      </w:pPr>
      <w:r>
        <w:t>1</w:t>
      </w:r>
      <w:r w:rsidR="00FC0BCF">
        <w:t xml:space="preserve">4. </w:t>
      </w:r>
      <w:r w:rsidR="00930EB6">
        <w:t>ATTENDANCE REQUIREMENTS:</w:t>
      </w:r>
    </w:p>
    <w:p w:rsidR="009B2637" w:rsidRPr="00F7671F" w:rsidRDefault="009B2637" w:rsidP="009B2637">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9B2637" w:rsidRPr="00F7671F" w:rsidRDefault="009B2637" w:rsidP="009B2637">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2. Students aware of necessary absences must inform the professor with as much advance notice as possible in order to make appropriate arrangements. </w:t>
      </w:r>
    </w:p>
    <w:p w:rsidR="009B2637" w:rsidRPr="00F7671F" w:rsidRDefault="009B2637" w:rsidP="009B2637">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3.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9B2637" w:rsidRDefault="009B2637" w:rsidP="009B2637">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9B2637" w:rsidRDefault="009B2637" w:rsidP="009B2637">
      <w:pPr>
        <w:autoSpaceDE w:val="0"/>
        <w:autoSpaceDN w:val="0"/>
        <w:adjustRightInd w:val="0"/>
        <w:spacing w:after="0" w:line="240" w:lineRule="auto"/>
        <w:ind w:left="810"/>
        <w:rPr>
          <w:rFonts w:cstheme="minorHAnsi"/>
          <w:spacing w:val="-3"/>
        </w:rPr>
      </w:pPr>
    </w:p>
    <w:p w:rsidR="009B2637" w:rsidRPr="00F7671F" w:rsidRDefault="009B2637" w:rsidP="009B2637">
      <w:pPr>
        <w:autoSpaceDE w:val="0"/>
        <w:autoSpaceDN w:val="0"/>
        <w:adjustRightInd w:val="0"/>
        <w:spacing w:after="0" w:line="240" w:lineRule="auto"/>
        <w:ind w:left="810"/>
        <w:rPr>
          <w:rFonts w:cstheme="minorHAnsi"/>
          <w:spacing w:val="-3"/>
        </w:rPr>
      </w:pP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B2637" w:rsidRPr="00417929" w:rsidRDefault="009B2637"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9B2637" w:rsidRPr="0024022F" w:rsidRDefault="009B2637" w:rsidP="009B2637">
      <w:pPr>
        <w:numPr>
          <w:ilvl w:val="0"/>
          <w:numId w:val="5"/>
        </w:numPr>
        <w:tabs>
          <w:tab w:val="left" w:pos="-720"/>
        </w:tabs>
        <w:suppressAutoHyphens/>
        <w:overflowPunct w:val="0"/>
        <w:autoSpaceDE w:val="0"/>
        <w:autoSpaceDN w:val="0"/>
        <w:adjustRightInd w:val="0"/>
        <w:spacing w:after="0" w:line="240" w:lineRule="auto"/>
        <w:ind w:right="-360"/>
        <w:rPr>
          <w:rFonts w:ascii="Times New Roman" w:hAnsi="Times New Roman"/>
          <w:spacing w:val="-3"/>
        </w:rPr>
      </w:pPr>
      <w:r w:rsidRPr="0024022F">
        <w:rPr>
          <w:rFonts w:ascii="Times New Roman" w:hAnsi="Times New Roman"/>
          <w:spacing w:val="-3"/>
        </w:rPr>
        <w:t>Weekly Quizzes: Accessed and completed weekly and worth 20% of the final grade.</w:t>
      </w:r>
    </w:p>
    <w:p w:rsidR="009B2637" w:rsidRPr="0024022F" w:rsidRDefault="009B2637" w:rsidP="009B2637">
      <w:pPr>
        <w:tabs>
          <w:tab w:val="left" w:pos="-720"/>
        </w:tabs>
        <w:suppressAutoHyphens/>
        <w:overflowPunct w:val="0"/>
        <w:autoSpaceDE w:val="0"/>
        <w:autoSpaceDN w:val="0"/>
        <w:adjustRightInd w:val="0"/>
        <w:spacing w:after="0" w:line="240" w:lineRule="auto"/>
        <w:ind w:left="720" w:right="-360"/>
        <w:rPr>
          <w:rFonts w:ascii="Times New Roman" w:hAnsi="Times New Roman"/>
          <w:spacing w:val="-3"/>
        </w:rPr>
      </w:pPr>
    </w:p>
    <w:p w:rsidR="009B2637" w:rsidRPr="0024022F" w:rsidRDefault="009B2637" w:rsidP="009B2637">
      <w:pPr>
        <w:numPr>
          <w:ilvl w:val="0"/>
          <w:numId w:val="4"/>
        </w:numPr>
        <w:tabs>
          <w:tab w:val="left" w:pos="-720"/>
        </w:tabs>
        <w:suppressAutoHyphens/>
        <w:overflowPunct w:val="0"/>
        <w:autoSpaceDE w:val="0"/>
        <w:autoSpaceDN w:val="0"/>
        <w:adjustRightInd w:val="0"/>
        <w:spacing w:after="0" w:line="240" w:lineRule="auto"/>
        <w:ind w:right="-360"/>
        <w:rPr>
          <w:rFonts w:ascii="Times New Roman" w:hAnsi="Times New Roman"/>
          <w:spacing w:val="-3"/>
        </w:rPr>
      </w:pPr>
      <w:r w:rsidRPr="0024022F">
        <w:rPr>
          <w:rFonts w:ascii="Times New Roman" w:hAnsi="Times New Roman"/>
          <w:spacing w:val="-3"/>
        </w:rPr>
        <w:t xml:space="preserve">Examinations:  Mid-term and final, each worth 20% of the final grade.  </w:t>
      </w:r>
    </w:p>
    <w:p w:rsidR="009B2637" w:rsidRPr="0024022F" w:rsidRDefault="009B2637" w:rsidP="009B2637">
      <w:pPr>
        <w:tabs>
          <w:tab w:val="left" w:pos="-720"/>
          <w:tab w:val="num" w:pos="360"/>
        </w:tabs>
        <w:suppressAutoHyphens/>
        <w:ind w:left="720" w:right="-360"/>
        <w:rPr>
          <w:rFonts w:ascii="Times New Roman" w:hAnsi="Times New Roman"/>
        </w:rPr>
      </w:pPr>
      <w:r w:rsidRPr="0024022F">
        <w:rPr>
          <w:rFonts w:ascii="Times New Roman" w:hAnsi="Times New Roman"/>
        </w:rPr>
        <w:t xml:space="preserve">A </w:t>
      </w:r>
      <w:r w:rsidRPr="0024022F">
        <w:rPr>
          <w:rFonts w:ascii="Times New Roman" w:hAnsi="Times New Roman"/>
          <w:b/>
        </w:rPr>
        <w:t>mid-term</w:t>
      </w:r>
      <w:r w:rsidRPr="0024022F">
        <w:rPr>
          <w:rFonts w:ascii="Times New Roman" w:hAnsi="Times New Roman"/>
        </w:rPr>
        <w:t xml:space="preserve"> and </w:t>
      </w:r>
      <w:r w:rsidRPr="0024022F">
        <w:rPr>
          <w:rFonts w:ascii="Times New Roman" w:hAnsi="Times New Roman"/>
          <w:b/>
        </w:rPr>
        <w:t>final</w:t>
      </w:r>
      <w:r w:rsidRPr="0024022F">
        <w:rPr>
          <w:rFonts w:ascii="Times New Roman" w:hAnsi="Times New Roman"/>
        </w:rPr>
        <w:t xml:space="preserve"> will be given the 6</w:t>
      </w:r>
      <w:r w:rsidRPr="0024022F">
        <w:rPr>
          <w:rFonts w:ascii="Times New Roman" w:hAnsi="Times New Roman"/>
          <w:vertAlign w:val="superscript"/>
        </w:rPr>
        <w:t>th</w:t>
      </w:r>
      <w:r w:rsidRPr="0024022F">
        <w:rPr>
          <w:rFonts w:ascii="Times New Roman" w:hAnsi="Times New Roman"/>
        </w:rPr>
        <w:t xml:space="preserve"> and 11</w:t>
      </w:r>
      <w:r w:rsidRPr="0024022F">
        <w:rPr>
          <w:rFonts w:ascii="Times New Roman" w:hAnsi="Times New Roman"/>
          <w:vertAlign w:val="superscript"/>
        </w:rPr>
        <w:t>th</w:t>
      </w:r>
      <w:r w:rsidRPr="0024022F">
        <w:rPr>
          <w:rFonts w:ascii="Times New Roman" w:hAnsi="Times New Roman"/>
        </w:rPr>
        <w:t xml:space="preserve"> week respectively. </w:t>
      </w:r>
    </w:p>
    <w:p w:rsidR="009B2637" w:rsidRPr="0024022F" w:rsidRDefault="009B2637" w:rsidP="009B2637">
      <w:pPr>
        <w:numPr>
          <w:ilvl w:val="0"/>
          <w:numId w:val="4"/>
        </w:numPr>
        <w:tabs>
          <w:tab w:val="left" w:pos="-720"/>
        </w:tabs>
        <w:suppressAutoHyphens/>
        <w:overflowPunct w:val="0"/>
        <w:autoSpaceDE w:val="0"/>
        <w:autoSpaceDN w:val="0"/>
        <w:adjustRightInd w:val="0"/>
        <w:spacing w:after="0" w:line="240" w:lineRule="auto"/>
        <w:ind w:right="-360"/>
        <w:rPr>
          <w:rFonts w:ascii="Times New Roman" w:hAnsi="Times New Roman"/>
        </w:rPr>
      </w:pPr>
      <w:r w:rsidRPr="0024022F">
        <w:rPr>
          <w:rFonts w:ascii="Times New Roman" w:hAnsi="Times New Roman"/>
          <w:b/>
          <w:spacing w:val="-3"/>
        </w:rPr>
        <w:t>Term paper:</w:t>
      </w:r>
      <w:r w:rsidRPr="0024022F">
        <w:rPr>
          <w:rFonts w:ascii="Times New Roman" w:hAnsi="Times New Roman"/>
          <w:spacing w:val="-3"/>
        </w:rPr>
        <w:t xml:space="preserve"> </w:t>
      </w:r>
      <w:r w:rsidRPr="0024022F">
        <w:rPr>
          <w:rFonts w:ascii="Times New Roman" w:hAnsi="Times New Roman"/>
        </w:rPr>
        <w:t xml:space="preserve">An in-depth term paper unique to this course </w:t>
      </w:r>
      <w:r>
        <w:rPr>
          <w:rFonts w:ascii="Times New Roman" w:hAnsi="Times New Roman"/>
        </w:rPr>
        <w:t xml:space="preserve">and never before submitted for another course </w:t>
      </w:r>
      <w:r w:rsidRPr="0024022F">
        <w:rPr>
          <w:rFonts w:ascii="Times New Roman" w:hAnsi="Times New Roman"/>
        </w:rPr>
        <w:t xml:space="preserve">must be developed on an </w:t>
      </w:r>
      <w:r w:rsidRPr="0024022F">
        <w:rPr>
          <w:rFonts w:ascii="Times New Roman" w:hAnsi="Times New Roman"/>
          <w:b/>
          <w:bCs/>
        </w:rPr>
        <w:t>approved</w:t>
      </w:r>
      <w:r w:rsidRPr="0024022F">
        <w:rPr>
          <w:rFonts w:ascii="Times New Roman" w:hAnsi="Times New Roman"/>
        </w:rPr>
        <w:t xml:space="preserve"> topic encompassing extensive library and </w:t>
      </w:r>
      <w:r w:rsidRPr="0024022F">
        <w:rPr>
          <w:rFonts w:ascii="Times New Roman" w:hAnsi="Times New Roman"/>
        </w:rPr>
        <w:lastRenderedPageBreak/>
        <w:t xml:space="preserve">Internet research. The paper must be written using the </w:t>
      </w:r>
      <w:r w:rsidRPr="0024022F">
        <w:rPr>
          <w:rFonts w:ascii="Times New Roman" w:hAnsi="Times New Roman"/>
          <w:b/>
          <w:bCs/>
        </w:rPr>
        <w:t>APA</w:t>
      </w:r>
      <w:r w:rsidRPr="0024022F">
        <w:rPr>
          <w:rFonts w:ascii="Times New Roman" w:hAnsi="Times New Roman"/>
        </w:rPr>
        <w:t xml:space="preserve"> style, a minimum of 1</w:t>
      </w:r>
      <w:r>
        <w:rPr>
          <w:rFonts w:ascii="Times New Roman" w:hAnsi="Times New Roman"/>
        </w:rPr>
        <w:t>5</w:t>
      </w:r>
      <w:r w:rsidRPr="0024022F">
        <w:rPr>
          <w:rFonts w:ascii="Times New Roman" w:hAnsi="Times New Roman"/>
        </w:rPr>
        <w:t xml:space="preserve"> pages and a maximum of 20 pages with a Title Page, an Abstract, and a Bibliography. A simple compilation of the authoritative works on a subject will be necessary but insufficient to properly complete the project. A thorough analysis of the subject must be made with conclusions developed by the student. “</w:t>
      </w:r>
      <w:proofErr w:type="spellStart"/>
      <w:r w:rsidRPr="0024022F">
        <w:rPr>
          <w:rFonts w:ascii="Times New Roman" w:hAnsi="Times New Roman"/>
        </w:rPr>
        <w:t>Wickipedia</w:t>
      </w:r>
      <w:proofErr w:type="spellEnd"/>
      <w:r w:rsidRPr="0024022F">
        <w:rPr>
          <w:rFonts w:ascii="Times New Roman" w:hAnsi="Times New Roman"/>
        </w:rPr>
        <w:t xml:space="preserve">” is not considered a valid research source for a term paper. This paper is due no later than the end of the tenth week of the scheduled term. It is to be submitted through </w:t>
      </w:r>
      <w:proofErr w:type="spellStart"/>
      <w:r w:rsidRPr="0024022F">
        <w:rPr>
          <w:rFonts w:ascii="Times New Roman" w:hAnsi="Times New Roman"/>
        </w:rPr>
        <w:t>SafeAssignment</w:t>
      </w:r>
      <w:proofErr w:type="spellEnd"/>
      <w:r w:rsidRPr="0024022F">
        <w:rPr>
          <w:rFonts w:ascii="Times New Roman" w:hAnsi="Times New Roman"/>
        </w:rPr>
        <w:t>. The paper constitutes 20% of the student’s final grade.</w:t>
      </w:r>
    </w:p>
    <w:p w:rsidR="009B2637" w:rsidRPr="0024022F" w:rsidRDefault="009B2637" w:rsidP="009B2637">
      <w:pPr>
        <w:tabs>
          <w:tab w:val="left" w:pos="-720"/>
        </w:tabs>
        <w:suppressAutoHyphens/>
        <w:overflowPunct w:val="0"/>
        <w:autoSpaceDE w:val="0"/>
        <w:autoSpaceDN w:val="0"/>
        <w:adjustRightInd w:val="0"/>
        <w:spacing w:after="0" w:line="240" w:lineRule="auto"/>
        <w:ind w:left="720" w:right="-360"/>
        <w:rPr>
          <w:rFonts w:ascii="Times New Roman" w:hAnsi="Times New Roman"/>
        </w:rPr>
      </w:pPr>
    </w:p>
    <w:p w:rsidR="009B2637" w:rsidRPr="0024022F" w:rsidRDefault="009B2637" w:rsidP="009B2637">
      <w:pPr>
        <w:numPr>
          <w:ilvl w:val="0"/>
          <w:numId w:val="4"/>
        </w:numPr>
        <w:tabs>
          <w:tab w:val="left" w:pos="-720"/>
        </w:tabs>
        <w:suppressAutoHyphens/>
        <w:overflowPunct w:val="0"/>
        <w:autoSpaceDE w:val="0"/>
        <w:autoSpaceDN w:val="0"/>
        <w:adjustRightInd w:val="0"/>
        <w:spacing w:after="0" w:line="240" w:lineRule="auto"/>
        <w:ind w:right="-360"/>
        <w:rPr>
          <w:rFonts w:ascii="Times New Roman" w:hAnsi="Times New Roman"/>
        </w:rPr>
      </w:pPr>
      <w:r w:rsidRPr="0024022F">
        <w:rPr>
          <w:rFonts w:ascii="Times New Roman" w:hAnsi="Times New Roman"/>
          <w:b/>
        </w:rPr>
        <w:t>Book Review</w:t>
      </w:r>
      <w:r w:rsidRPr="0024022F">
        <w:rPr>
          <w:rFonts w:ascii="Times New Roman" w:hAnsi="Times New Roman"/>
        </w:rPr>
        <w:t xml:space="preserve">: During the term, graduate students will also read the novel </w:t>
      </w:r>
      <w:r w:rsidRPr="0024022F">
        <w:rPr>
          <w:rFonts w:ascii="Times New Roman" w:hAnsi="Times New Roman"/>
          <w:i/>
          <w:u w:val="single"/>
        </w:rPr>
        <w:t>The Immortal Life of Henrietta</w:t>
      </w:r>
      <w:r w:rsidRPr="0024022F">
        <w:rPr>
          <w:rFonts w:ascii="Times New Roman" w:hAnsi="Times New Roman"/>
          <w:i/>
        </w:rPr>
        <w:t xml:space="preserve"> </w:t>
      </w:r>
      <w:r w:rsidRPr="0024022F">
        <w:rPr>
          <w:rFonts w:ascii="Times New Roman" w:hAnsi="Times New Roman"/>
          <w:i/>
          <w:u w:val="single"/>
        </w:rPr>
        <w:t>Lack</w:t>
      </w:r>
      <w:r>
        <w:rPr>
          <w:rFonts w:ascii="Times New Roman" w:hAnsi="Times New Roman"/>
          <w:i/>
          <w:u w:val="single"/>
        </w:rPr>
        <w:t>s</w:t>
      </w:r>
      <w:r w:rsidRPr="0024022F">
        <w:rPr>
          <w:rFonts w:ascii="Times New Roman" w:hAnsi="Times New Roman"/>
          <w:i/>
        </w:rPr>
        <w:t xml:space="preserve"> </w:t>
      </w:r>
      <w:r w:rsidRPr="0024022F">
        <w:rPr>
          <w:rFonts w:ascii="Times New Roman" w:hAnsi="Times New Roman"/>
        </w:rPr>
        <w:t>and write an in-depth review of the book and how it pertains to the laws and this course.  This review will constitute 20% of the student’s final grade. This review will be submitted to the Professor via email.</w:t>
      </w:r>
    </w:p>
    <w:p w:rsidR="009B2637" w:rsidRPr="0024022F" w:rsidRDefault="009B2637" w:rsidP="009B2637">
      <w:pPr>
        <w:numPr>
          <w:ilvl w:val="0"/>
          <w:numId w:val="4"/>
        </w:numPr>
        <w:tabs>
          <w:tab w:val="left" w:pos="-720"/>
        </w:tabs>
        <w:suppressAutoHyphens/>
        <w:autoSpaceDE w:val="0"/>
        <w:autoSpaceDN w:val="0"/>
        <w:adjustRightInd w:val="0"/>
        <w:spacing w:after="0" w:line="240" w:lineRule="auto"/>
        <w:ind w:right="-360"/>
        <w:rPr>
          <w:rFonts w:ascii="Times New Roman" w:hAnsi="Times New Roman"/>
          <w:spacing w:val="-3"/>
        </w:rPr>
      </w:pPr>
      <w:r w:rsidRPr="0024022F">
        <w:rPr>
          <w:rFonts w:ascii="Times New Roman" w:hAnsi="Times New Roman"/>
          <w:b/>
          <w:bCs/>
        </w:rPr>
        <w:t>No Incompletes will be given</w:t>
      </w:r>
      <w:r w:rsidRPr="0024022F">
        <w:rPr>
          <w:rFonts w:ascii="Times New Roman" w:hAnsi="Times New Roman"/>
        </w:rPr>
        <w:t xml:space="preserve">. Because the student has a full week to complete the </w:t>
      </w:r>
      <w:r>
        <w:rPr>
          <w:rFonts w:ascii="Times New Roman" w:hAnsi="Times New Roman"/>
        </w:rPr>
        <w:t xml:space="preserve">weekly </w:t>
      </w:r>
      <w:r w:rsidRPr="0024022F">
        <w:rPr>
          <w:rFonts w:ascii="Times New Roman" w:hAnsi="Times New Roman"/>
        </w:rPr>
        <w:t xml:space="preserve">assignments, students not completing assignments before their due dates will receive a grade of zero for the assignment and this grade will be factored into the final grade. </w:t>
      </w:r>
    </w:p>
    <w:p w:rsidR="009B2637" w:rsidRDefault="009B2637" w:rsidP="009B2637">
      <w:pPr>
        <w:tabs>
          <w:tab w:val="left" w:pos="1644"/>
        </w:tabs>
        <w:rPr>
          <w:rFonts w:ascii="Times New Roman" w:hAnsi="Times New Roman"/>
          <w:spacing w:val="-3"/>
          <w:sz w:val="22"/>
          <w:szCs w:val="22"/>
        </w:rPr>
      </w:pPr>
      <w:r>
        <w:rPr>
          <w:rFonts w:ascii="Times New Roman" w:hAnsi="Times New Roman"/>
          <w:spacing w:val="-3"/>
          <w:sz w:val="22"/>
          <w:szCs w:val="22"/>
        </w:rPr>
        <w:tab/>
      </w:r>
    </w:p>
    <w:p w:rsidR="009B2637" w:rsidRDefault="009B2637" w:rsidP="009B2637">
      <w:pPr>
        <w:pStyle w:val="NormalWeb"/>
        <w:spacing w:before="0" w:beforeAutospacing="0" w:after="0" w:afterAutospacing="0"/>
        <w:rPr>
          <w:rFonts w:ascii="Calibri" w:hAnsi="Calibri"/>
          <w:bCs/>
          <w:sz w:val="22"/>
          <w:szCs w:val="22"/>
        </w:rPr>
      </w:pPr>
    </w:p>
    <w:p w:rsidR="009B2637" w:rsidRPr="0024022F" w:rsidRDefault="009B2637" w:rsidP="009B2637">
      <w:pPr>
        <w:pStyle w:val="Heading3"/>
        <w:rPr>
          <w:rFonts w:asciiTheme="minorHAnsi" w:hAnsiTheme="minorHAnsi" w:cstheme="minorHAnsi"/>
          <w:b/>
          <w:color w:val="auto"/>
        </w:rPr>
      </w:pPr>
      <w:r w:rsidRPr="0024022F">
        <w:rPr>
          <w:rFonts w:asciiTheme="minorHAnsi" w:hAnsiTheme="minorHAnsi" w:cstheme="minorHAnsi"/>
          <w:b/>
          <w:color w:val="auto"/>
        </w:rPr>
        <w:t>Approved Graduate Student Term Paper Topics -</w:t>
      </w:r>
    </w:p>
    <w:p w:rsidR="009B2637" w:rsidRPr="0024022F" w:rsidRDefault="009B2637" w:rsidP="009B2637">
      <w:pPr>
        <w:tabs>
          <w:tab w:val="left" w:pos="0"/>
        </w:tabs>
        <w:ind w:left="-540" w:right="-720"/>
        <w:rPr>
          <w:rFonts w:cstheme="minorHAnsi"/>
        </w:rPr>
      </w:pPr>
    </w:p>
    <w:p w:rsidR="009B2637" w:rsidRPr="0024022F" w:rsidRDefault="009B2637" w:rsidP="009B2637">
      <w:pPr>
        <w:tabs>
          <w:tab w:val="left" w:pos="0"/>
        </w:tabs>
        <w:ind w:right="-720"/>
        <w:rPr>
          <w:rFonts w:cstheme="minorHAnsi"/>
        </w:rPr>
      </w:pPr>
      <w:r w:rsidRPr="0024022F">
        <w:rPr>
          <w:rFonts w:cstheme="minorHAnsi"/>
        </w:rPr>
        <w:t>1.  Non-Judicial Alternatives for Health Facility Conflict Resolution</w:t>
      </w:r>
    </w:p>
    <w:p w:rsidR="009B2637" w:rsidRPr="0024022F" w:rsidRDefault="009B2637" w:rsidP="009B2637">
      <w:pPr>
        <w:tabs>
          <w:tab w:val="left" w:pos="0"/>
        </w:tabs>
        <w:ind w:right="-720"/>
        <w:rPr>
          <w:rFonts w:cstheme="minorHAnsi"/>
        </w:rPr>
      </w:pPr>
      <w:r w:rsidRPr="0024022F">
        <w:rPr>
          <w:rFonts w:cstheme="minorHAnsi"/>
        </w:rPr>
        <w:t>2.  Legal Considerations of Patient Physical and Chemical Restraint</w:t>
      </w:r>
    </w:p>
    <w:p w:rsidR="009B2637" w:rsidRPr="0024022F" w:rsidRDefault="009B2637" w:rsidP="009B2637">
      <w:pPr>
        <w:pStyle w:val="BodyText"/>
        <w:rPr>
          <w:rFonts w:asciiTheme="minorHAnsi" w:hAnsiTheme="minorHAnsi" w:cstheme="minorHAnsi"/>
          <w:szCs w:val="24"/>
        </w:rPr>
      </w:pPr>
      <w:r w:rsidRPr="0024022F">
        <w:rPr>
          <w:rFonts w:asciiTheme="minorHAnsi" w:hAnsiTheme="minorHAnsi" w:cstheme="minorHAnsi"/>
          <w:szCs w:val="24"/>
        </w:rPr>
        <w:t>3.  The Moral Imperatives of Conscientious Litigation: Considerations of Legal Counsel, Insurance Carrier, and Health Facility</w:t>
      </w:r>
    </w:p>
    <w:p w:rsidR="009B2637" w:rsidRPr="0024022F" w:rsidRDefault="009B2637" w:rsidP="009B2637">
      <w:pPr>
        <w:pStyle w:val="BodyText"/>
        <w:rPr>
          <w:rFonts w:asciiTheme="minorHAnsi" w:hAnsiTheme="minorHAnsi" w:cstheme="minorHAnsi"/>
          <w:szCs w:val="24"/>
        </w:rPr>
      </w:pPr>
      <w:r w:rsidRPr="0024022F">
        <w:rPr>
          <w:rFonts w:asciiTheme="minorHAnsi" w:hAnsiTheme="minorHAnsi" w:cstheme="minorHAnsi"/>
          <w:szCs w:val="24"/>
        </w:rPr>
        <w:t>4.  Legal Risk Management and the Clinical Utilization Review Process</w:t>
      </w:r>
    </w:p>
    <w:p w:rsidR="009B2637" w:rsidRPr="0024022F" w:rsidRDefault="009B2637" w:rsidP="009B2637">
      <w:pPr>
        <w:tabs>
          <w:tab w:val="left" w:pos="0"/>
        </w:tabs>
        <w:ind w:right="-720"/>
        <w:rPr>
          <w:rFonts w:cstheme="minorHAnsi"/>
        </w:rPr>
      </w:pPr>
      <w:r w:rsidRPr="0024022F">
        <w:rPr>
          <w:rFonts w:cstheme="minorHAnsi"/>
        </w:rPr>
        <w:t xml:space="preserve">5.  Operational Approaches to the Reduction of Tort Claims in Health Care Facilities </w:t>
      </w:r>
    </w:p>
    <w:p w:rsidR="009B2637" w:rsidRPr="0024022F" w:rsidRDefault="009B2637" w:rsidP="009B2637">
      <w:pPr>
        <w:ind w:right="-720"/>
        <w:rPr>
          <w:rFonts w:cstheme="minorHAnsi"/>
        </w:rPr>
      </w:pPr>
      <w:r w:rsidRPr="0024022F">
        <w:rPr>
          <w:rFonts w:cstheme="minorHAnsi"/>
        </w:rPr>
        <w:t xml:space="preserve">6. Medicare Fraud: The History, Incidence, Costs and Institutional Remedies </w:t>
      </w:r>
    </w:p>
    <w:p w:rsidR="009B2637" w:rsidRPr="0024022F" w:rsidRDefault="009B2637" w:rsidP="009B2637">
      <w:pPr>
        <w:tabs>
          <w:tab w:val="left" w:pos="0"/>
        </w:tabs>
        <w:ind w:right="-720"/>
        <w:rPr>
          <w:rFonts w:cstheme="minorHAnsi"/>
        </w:rPr>
      </w:pPr>
      <w:r w:rsidRPr="0024022F">
        <w:rPr>
          <w:rFonts w:cstheme="minorHAnsi"/>
        </w:rPr>
        <w:t xml:space="preserve">7. The Current Legal Status of Unjust Employee Termination and Discipline in the Health Care Institution </w:t>
      </w:r>
    </w:p>
    <w:p w:rsidR="009B2637" w:rsidRPr="0024022F" w:rsidRDefault="009B2637" w:rsidP="009B2637">
      <w:pPr>
        <w:tabs>
          <w:tab w:val="left" w:pos="0"/>
        </w:tabs>
        <w:ind w:right="-720"/>
        <w:rPr>
          <w:rFonts w:cstheme="minorHAnsi"/>
        </w:rPr>
      </w:pPr>
      <w:r w:rsidRPr="0024022F">
        <w:rPr>
          <w:rFonts w:cstheme="minorHAnsi"/>
        </w:rPr>
        <w:t>8.  The Americans With Disability Act:  Implications for Patient Service, Employee Development, and Facility Design</w:t>
      </w:r>
    </w:p>
    <w:p w:rsidR="009B2637" w:rsidRPr="0024022F" w:rsidRDefault="009B2637" w:rsidP="009B2637">
      <w:pPr>
        <w:pStyle w:val="BodyText"/>
        <w:rPr>
          <w:rFonts w:asciiTheme="minorHAnsi" w:hAnsiTheme="minorHAnsi" w:cstheme="minorHAnsi"/>
          <w:szCs w:val="24"/>
        </w:rPr>
      </w:pPr>
      <w:r w:rsidRPr="0024022F">
        <w:rPr>
          <w:rFonts w:asciiTheme="minorHAnsi" w:hAnsiTheme="minorHAnsi" w:cstheme="minorHAnsi"/>
          <w:szCs w:val="24"/>
        </w:rPr>
        <w:t>9.  An Evaluation of Legal Approaches to Qualifying for Medicaid Without Spending Down: History, Moral and Economic Concerns and Recent Developments</w:t>
      </w:r>
    </w:p>
    <w:p w:rsidR="009B2637" w:rsidRPr="0024022F" w:rsidRDefault="009B2637" w:rsidP="009B2637">
      <w:pPr>
        <w:pStyle w:val="BodyText"/>
        <w:rPr>
          <w:rFonts w:asciiTheme="minorHAnsi" w:hAnsiTheme="minorHAnsi" w:cstheme="minorHAnsi"/>
          <w:szCs w:val="24"/>
        </w:rPr>
      </w:pPr>
      <w:r w:rsidRPr="0024022F">
        <w:rPr>
          <w:rFonts w:asciiTheme="minorHAnsi" w:hAnsiTheme="minorHAnsi" w:cstheme="minorHAnsi"/>
          <w:szCs w:val="24"/>
        </w:rPr>
        <w:t xml:space="preserve">10. The Health Facility’s Legal Responsibilities for Substituted Judgment and Related Court Orders: Why, When, Who and How </w:t>
      </w:r>
    </w:p>
    <w:p w:rsidR="00FC0BCF" w:rsidRDefault="00FC0BCF" w:rsidP="00FC0BCF">
      <w:pPr>
        <w:rPr>
          <w:rFonts w:ascii="Calibri" w:hAnsi="Calibri"/>
          <w:sz w:val="22"/>
          <w:szCs w:val="22"/>
        </w:rPr>
      </w:pPr>
    </w:p>
    <w:p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w:t>
      </w:r>
      <w:r>
        <w:lastRenderedPageBreak/>
        <w:t>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6B7776" w:rsidRDefault="0075559E"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445D8C" w:rsidRDefault="00445D8C" w:rsidP="00930EB6"/>
    <w:p w:rsidR="009B2637" w:rsidRDefault="009B2637" w:rsidP="009B2637">
      <w:pPr>
        <w:pStyle w:val="Heading1"/>
      </w:pPr>
    </w:p>
    <w:p w:rsidR="0075559E" w:rsidRDefault="0075559E" w:rsidP="0075559E"/>
    <w:p w:rsidR="0075559E" w:rsidRDefault="0075559E" w:rsidP="0075559E"/>
    <w:p w:rsidR="0075559E" w:rsidRDefault="0075559E" w:rsidP="0075559E"/>
    <w:p w:rsidR="0075559E" w:rsidRDefault="0075559E" w:rsidP="0075559E"/>
    <w:p w:rsidR="0075559E" w:rsidRPr="0075559E" w:rsidRDefault="0075559E" w:rsidP="0075559E">
      <w:bookmarkStart w:id="0" w:name="_GoBack"/>
      <w:bookmarkEnd w:id="0"/>
    </w:p>
    <w:p w:rsidR="009B2637" w:rsidRDefault="009B2637" w:rsidP="009B2637">
      <w:pPr>
        <w:pStyle w:val="Heading1"/>
        <w:ind w:hanging="720"/>
      </w:pPr>
      <w:r>
        <w:lastRenderedPageBreak/>
        <w:t>18. TENTATIVE SCHEDULE</w:t>
      </w:r>
    </w:p>
    <w:p w:rsidR="009B2637" w:rsidRPr="005B237A" w:rsidRDefault="009B2637" w:rsidP="009B2637">
      <w:pPr>
        <w:rPr>
          <w:rFonts w:ascii="Times New Roman" w:hAnsi="Times New Roman"/>
          <w:spacing w:val="-3"/>
          <w:sz w:val="22"/>
          <w:szCs w:val="22"/>
        </w:rPr>
      </w:pPr>
    </w:p>
    <w:p w:rsidR="009B2637" w:rsidRPr="0024022F" w:rsidRDefault="009B2637" w:rsidP="009B2637">
      <w:pPr>
        <w:tabs>
          <w:tab w:val="left" w:pos="-720"/>
        </w:tabs>
        <w:suppressAutoHyphens/>
        <w:ind w:right="-360" w:hanging="540"/>
        <w:jc w:val="both"/>
        <w:rPr>
          <w:rFonts w:cstheme="minorHAnsi"/>
          <w:spacing w:val="-3"/>
        </w:rPr>
      </w:pPr>
      <w:r w:rsidRPr="0024022F">
        <w:rPr>
          <w:rFonts w:cstheme="minorHAnsi"/>
          <w:spacing w:val="-3"/>
        </w:rPr>
        <w:t>Class</w:t>
      </w:r>
      <w:r w:rsidRPr="0024022F">
        <w:rPr>
          <w:rFonts w:cstheme="minorHAnsi"/>
          <w:spacing w:val="-3"/>
        </w:rPr>
        <w:tab/>
      </w:r>
      <w:r w:rsidRPr="0024022F">
        <w:rPr>
          <w:rFonts w:cstheme="minorHAnsi"/>
          <w:spacing w:val="-3"/>
        </w:rPr>
        <w:tab/>
        <w:t>Date</w:t>
      </w:r>
      <w:r w:rsidRPr="0024022F">
        <w:rPr>
          <w:rFonts w:cstheme="minorHAnsi"/>
          <w:spacing w:val="-3"/>
        </w:rPr>
        <w:tab/>
      </w:r>
      <w:r w:rsidRPr="0024022F">
        <w:rPr>
          <w:rFonts w:cstheme="minorHAnsi"/>
          <w:spacing w:val="-3"/>
        </w:rPr>
        <w:tab/>
      </w:r>
      <w:r w:rsidRPr="0024022F">
        <w:rPr>
          <w:rFonts w:cstheme="minorHAnsi"/>
          <w:spacing w:val="-3"/>
        </w:rPr>
        <w:tab/>
        <w:t>Subject</w:t>
      </w:r>
      <w:r w:rsidRPr="0024022F">
        <w:rPr>
          <w:rFonts w:cstheme="minorHAnsi"/>
          <w:spacing w:val="-3"/>
        </w:rPr>
        <w:tab/>
      </w:r>
      <w:r w:rsidRPr="0024022F">
        <w:rPr>
          <w:rFonts w:cstheme="minorHAnsi"/>
          <w:spacing w:val="-3"/>
        </w:rPr>
        <w:tab/>
      </w:r>
      <w:r w:rsidRPr="0024022F">
        <w:rPr>
          <w:rFonts w:cstheme="minorHAnsi"/>
          <w:spacing w:val="-3"/>
        </w:rPr>
        <w:tab/>
      </w:r>
      <w:r w:rsidRPr="0024022F">
        <w:rPr>
          <w:rFonts w:cstheme="minorHAnsi"/>
          <w:spacing w:val="-3"/>
        </w:rPr>
        <w:tab/>
      </w:r>
      <w:r w:rsidRPr="0024022F">
        <w:rPr>
          <w:rFonts w:cstheme="minorHAnsi"/>
          <w:spacing w:val="-3"/>
        </w:rPr>
        <w:tab/>
      </w:r>
      <w:r w:rsidRPr="0024022F">
        <w:rPr>
          <w:rFonts w:cstheme="minorHAnsi"/>
          <w:spacing w:val="-3"/>
        </w:rPr>
        <w:tab/>
      </w:r>
      <w:r w:rsidRPr="0024022F">
        <w:rPr>
          <w:rFonts w:cstheme="minorHAnsi"/>
          <w:spacing w:val="-3"/>
        </w:rPr>
        <w:tab/>
      </w:r>
      <w:r w:rsidRPr="0024022F">
        <w:rPr>
          <w:rFonts w:cstheme="minorHAnsi"/>
          <w:spacing w:val="-3"/>
        </w:rPr>
        <w:tab/>
        <w:t>Pages</w:t>
      </w:r>
    </w:p>
    <w:p w:rsidR="009B2637" w:rsidRPr="0024022F" w:rsidRDefault="009B2637" w:rsidP="009B2637">
      <w:pPr>
        <w:tabs>
          <w:tab w:val="left" w:pos="-720"/>
        </w:tabs>
        <w:suppressAutoHyphens/>
        <w:ind w:left="-360" w:right="-360"/>
        <w:jc w:val="both"/>
        <w:rPr>
          <w:rFonts w:cstheme="minorHAnsi"/>
          <w:spacing w:val="-3"/>
        </w:rPr>
      </w:pPr>
    </w:p>
    <w:p w:rsidR="009B2637" w:rsidRPr="0024022F" w:rsidRDefault="009B2637" w:rsidP="009B2637">
      <w:pPr>
        <w:ind w:left="-540" w:right="-720"/>
        <w:rPr>
          <w:rFonts w:cstheme="minorHAnsi"/>
        </w:rPr>
      </w:pPr>
      <w:r w:rsidRPr="0024022F">
        <w:rPr>
          <w:rFonts w:cstheme="minorHAnsi"/>
          <w:spacing w:val="-3"/>
        </w:rPr>
        <w:t>1</w:t>
      </w:r>
      <w:r w:rsidRPr="0024022F">
        <w:rPr>
          <w:rFonts w:cstheme="minorHAnsi"/>
          <w:spacing w:val="-3"/>
        </w:rPr>
        <w:tab/>
      </w:r>
      <w:r w:rsidRPr="0024022F">
        <w:rPr>
          <w:rFonts w:cstheme="minorHAnsi"/>
          <w:spacing w:val="-3"/>
        </w:rPr>
        <w:tab/>
        <w:t xml:space="preserve">Aug </w:t>
      </w:r>
      <w:r>
        <w:rPr>
          <w:rFonts w:cstheme="minorHAnsi"/>
          <w:spacing w:val="-3"/>
        </w:rPr>
        <w:t>19</w:t>
      </w:r>
      <w:r w:rsidRPr="009B2637">
        <w:rPr>
          <w:rFonts w:cstheme="minorHAnsi"/>
          <w:spacing w:val="-3"/>
          <w:vertAlign w:val="superscript"/>
        </w:rPr>
        <w:t>th</w:t>
      </w:r>
      <w:r>
        <w:rPr>
          <w:rFonts w:cstheme="minorHAnsi"/>
          <w:spacing w:val="-3"/>
        </w:rPr>
        <w:t xml:space="preserve"> – 25</w:t>
      </w:r>
      <w:r w:rsidRPr="009B2637">
        <w:rPr>
          <w:rFonts w:cstheme="minorHAnsi"/>
          <w:spacing w:val="-3"/>
          <w:vertAlign w:val="superscript"/>
        </w:rPr>
        <w:t>th</w:t>
      </w:r>
      <w:r>
        <w:rPr>
          <w:rFonts w:cstheme="minorHAnsi"/>
          <w:spacing w:val="-3"/>
        </w:rPr>
        <w:t xml:space="preserve"> </w:t>
      </w:r>
      <w:r w:rsidRPr="0024022F">
        <w:rPr>
          <w:rFonts w:cstheme="minorHAnsi"/>
          <w:spacing w:val="-3"/>
        </w:rPr>
        <w:t xml:space="preserve">            </w:t>
      </w:r>
      <w:r w:rsidRPr="0024022F">
        <w:rPr>
          <w:rFonts w:cstheme="minorHAnsi"/>
          <w:spacing w:val="-3"/>
        </w:rPr>
        <w:tab/>
      </w:r>
      <w:r w:rsidRPr="0024022F">
        <w:rPr>
          <w:rFonts w:cstheme="minorHAnsi"/>
        </w:rPr>
        <w:t xml:space="preserve">Chapter 1: </w:t>
      </w:r>
      <w:r>
        <w:rPr>
          <w:rFonts w:cstheme="minorHAnsi"/>
        </w:rPr>
        <w:t>Hospitals Through the Ages</w:t>
      </w:r>
      <w:r w:rsidRPr="0024022F">
        <w:rPr>
          <w:rFonts w:cstheme="minorHAnsi"/>
        </w:rPr>
        <w:tab/>
      </w:r>
      <w:r w:rsidRPr="0024022F">
        <w:rPr>
          <w:rFonts w:cstheme="minorHAnsi"/>
        </w:rPr>
        <w:tab/>
      </w:r>
      <w:r w:rsidRPr="0024022F">
        <w:rPr>
          <w:rFonts w:cstheme="minorHAnsi"/>
        </w:rPr>
        <w:tab/>
        <w:t>1-</w:t>
      </w:r>
      <w:r>
        <w:rPr>
          <w:rFonts w:cstheme="minorHAnsi"/>
        </w:rPr>
        <w:t>40</w:t>
      </w:r>
    </w:p>
    <w:p w:rsidR="009B2637" w:rsidRPr="0024022F" w:rsidRDefault="009B2637" w:rsidP="009B2637">
      <w:pPr>
        <w:ind w:left="-540"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Chapter 2:  Government, Law, and Ethics</w:t>
      </w:r>
      <w:r w:rsidRPr="0024022F">
        <w:rPr>
          <w:rFonts w:cstheme="minorHAnsi"/>
        </w:rPr>
        <w:tab/>
      </w:r>
      <w:r w:rsidRPr="0024022F">
        <w:rPr>
          <w:rFonts w:cstheme="minorHAnsi"/>
        </w:rPr>
        <w:tab/>
      </w:r>
      <w:r w:rsidRPr="0024022F">
        <w:rPr>
          <w:rFonts w:cstheme="minorHAnsi"/>
        </w:rPr>
        <w:tab/>
      </w:r>
      <w:r w:rsidRPr="0024022F">
        <w:rPr>
          <w:rFonts w:cstheme="minorHAnsi"/>
        </w:rPr>
        <w:tab/>
      </w:r>
    </w:p>
    <w:p w:rsidR="009B2637" w:rsidRPr="0024022F" w:rsidRDefault="009B2637" w:rsidP="009B2637">
      <w:pPr>
        <w:ind w:left="-540"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 xml:space="preserve">Chapter </w:t>
      </w:r>
      <w:r>
        <w:rPr>
          <w:rFonts w:cstheme="minorHAnsi"/>
        </w:rPr>
        <w:t>15</w:t>
      </w:r>
      <w:r w:rsidRPr="0024022F">
        <w:rPr>
          <w:rFonts w:cstheme="minorHAnsi"/>
        </w:rPr>
        <w:t>:  Healthcare Ethics</w:t>
      </w:r>
      <w:r>
        <w:rPr>
          <w:rFonts w:cstheme="minorHAnsi"/>
        </w:rPr>
        <w:tab/>
      </w:r>
      <w:r>
        <w:rPr>
          <w:rFonts w:cstheme="minorHAnsi"/>
        </w:rPr>
        <w:tab/>
      </w:r>
      <w:r>
        <w:rPr>
          <w:rFonts w:cstheme="minorHAnsi"/>
        </w:rPr>
        <w:tab/>
      </w:r>
      <w:r>
        <w:rPr>
          <w:rFonts w:cstheme="minorHAnsi"/>
        </w:rPr>
        <w:tab/>
        <w:t xml:space="preserve">408 – 437 </w:t>
      </w:r>
    </w:p>
    <w:p w:rsidR="009B2637" w:rsidRPr="0024022F" w:rsidRDefault="009B2637" w:rsidP="009B2637">
      <w:pPr>
        <w:ind w:left="-540" w:right="-720"/>
        <w:rPr>
          <w:rFonts w:cstheme="minorHAnsi"/>
        </w:rPr>
      </w:pPr>
    </w:p>
    <w:p w:rsidR="009B2637" w:rsidRPr="0024022F" w:rsidRDefault="009B2637" w:rsidP="009B2637">
      <w:pPr>
        <w:ind w:left="-540" w:right="-720"/>
        <w:rPr>
          <w:rFonts w:cstheme="minorHAnsi"/>
        </w:rPr>
      </w:pPr>
      <w:r w:rsidRPr="0024022F">
        <w:rPr>
          <w:rFonts w:cstheme="minorHAnsi"/>
        </w:rPr>
        <w:t>2</w:t>
      </w:r>
      <w:r w:rsidRPr="0024022F">
        <w:rPr>
          <w:rFonts w:cstheme="minorHAnsi"/>
        </w:rPr>
        <w:tab/>
      </w:r>
      <w:r w:rsidRPr="0024022F">
        <w:rPr>
          <w:rFonts w:cstheme="minorHAnsi"/>
        </w:rPr>
        <w:tab/>
      </w:r>
      <w:r>
        <w:rPr>
          <w:rFonts w:cstheme="minorHAnsi"/>
        </w:rPr>
        <w:t>Aug 26</w:t>
      </w:r>
      <w:r w:rsidRPr="009B2637">
        <w:rPr>
          <w:rFonts w:cstheme="minorHAnsi"/>
          <w:vertAlign w:val="superscript"/>
        </w:rPr>
        <w:t>th</w:t>
      </w:r>
      <w:r>
        <w:rPr>
          <w:rFonts w:cstheme="minorHAnsi"/>
        </w:rPr>
        <w:t xml:space="preserve"> – Sep 1</w:t>
      </w:r>
      <w:r w:rsidRPr="009B2637">
        <w:rPr>
          <w:rFonts w:cstheme="minorHAnsi"/>
          <w:vertAlign w:val="superscript"/>
        </w:rPr>
        <w:t>st</w:t>
      </w:r>
      <w:r>
        <w:rPr>
          <w:rFonts w:cstheme="minorHAnsi"/>
        </w:rPr>
        <w:t xml:space="preserve">   </w:t>
      </w:r>
      <w:r w:rsidRPr="0024022F">
        <w:rPr>
          <w:rFonts w:cstheme="minorHAnsi"/>
        </w:rPr>
        <w:t xml:space="preserve">    </w:t>
      </w:r>
      <w:r w:rsidRPr="0024022F">
        <w:rPr>
          <w:rFonts w:cstheme="minorHAnsi"/>
        </w:rPr>
        <w:tab/>
        <w:t xml:space="preserve">Chapter </w:t>
      </w:r>
      <w:r>
        <w:rPr>
          <w:rFonts w:cstheme="minorHAnsi"/>
        </w:rPr>
        <w:t>3</w:t>
      </w:r>
      <w:r w:rsidRPr="0024022F">
        <w:rPr>
          <w:rFonts w:cstheme="minorHAnsi"/>
        </w:rPr>
        <w:t xml:space="preserve">: Tort Law – Negligence </w:t>
      </w:r>
      <w:r w:rsidRPr="0024022F">
        <w:rPr>
          <w:rFonts w:cstheme="minorHAnsi"/>
        </w:rPr>
        <w:tab/>
      </w:r>
      <w:r w:rsidRPr="0024022F">
        <w:rPr>
          <w:rFonts w:cstheme="minorHAnsi"/>
        </w:rPr>
        <w:tab/>
      </w:r>
      <w:r w:rsidRPr="0024022F">
        <w:rPr>
          <w:rFonts w:cstheme="minorHAnsi"/>
        </w:rPr>
        <w:tab/>
      </w:r>
      <w:r w:rsidRPr="0024022F">
        <w:rPr>
          <w:rFonts w:cstheme="minorHAnsi"/>
        </w:rPr>
        <w:tab/>
      </w:r>
      <w:r>
        <w:rPr>
          <w:rFonts w:cstheme="minorHAnsi"/>
        </w:rPr>
        <w:t xml:space="preserve">41 – 86 </w:t>
      </w:r>
      <w:r w:rsidRPr="0024022F">
        <w:rPr>
          <w:rFonts w:cstheme="minorHAnsi"/>
        </w:rPr>
        <w:t xml:space="preserve">   </w:t>
      </w:r>
    </w:p>
    <w:p w:rsidR="009B2637" w:rsidRDefault="009B2637" w:rsidP="009B2637">
      <w:pPr>
        <w:ind w:left="-540"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 xml:space="preserve">Chapter </w:t>
      </w:r>
      <w:r>
        <w:rPr>
          <w:rFonts w:cstheme="minorHAnsi"/>
        </w:rPr>
        <w:t>4</w:t>
      </w:r>
      <w:r w:rsidRPr="0024022F">
        <w:rPr>
          <w:rFonts w:cstheme="minorHAnsi"/>
        </w:rPr>
        <w:t>: Intentional Torts</w:t>
      </w:r>
    </w:p>
    <w:p w:rsidR="009B2637" w:rsidRPr="0024022F" w:rsidRDefault="009B2637" w:rsidP="009B2637">
      <w:pPr>
        <w:ind w:left="-540" w:right="-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Chapter 5: Tort Reform and Risk Reduction</w:t>
      </w:r>
    </w:p>
    <w:p w:rsidR="009B2637" w:rsidRPr="0024022F" w:rsidRDefault="009B2637" w:rsidP="009B2637">
      <w:pPr>
        <w:ind w:left="-540" w:right="-720"/>
        <w:rPr>
          <w:rFonts w:cstheme="minorHAnsi"/>
        </w:rPr>
      </w:pPr>
      <w:r w:rsidRPr="0024022F">
        <w:rPr>
          <w:rFonts w:cstheme="minorHAnsi"/>
        </w:rPr>
        <w:tab/>
      </w:r>
      <w:r w:rsidRPr="0024022F">
        <w:rPr>
          <w:rFonts w:cstheme="minorHAnsi"/>
        </w:rPr>
        <w:tab/>
      </w:r>
    </w:p>
    <w:p w:rsidR="009B2637" w:rsidRDefault="009B2637" w:rsidP="009B2637">
      <w:pPr>
        <w:ind w:left="-540" w:right="-720"/>
        <w:rPr>
          <w:rFonts w:cstheme="minorHAnsi"/>
        </w:rPr>
      </w:pPr>
      <w:r w:rsidRPr="0024022F">
        <w:rPr>
          <w:rFonts w:cstheme="minorHAnsi"/>
        </w:rPr>
        <w:t>3</w:t>
      </w:r>
      <w:r w:rsidRPr="0024022F">
        <w:rPr>
          <w:rFonts w:cstheme="minorHAnsi"/>
        </w:rPr>
        <w:tab/>
      </w:r>
      <w:r w:rsidRPr="0024022F">
        <w:rPr>
          <w:rFonts w:cstheme="minorHAnsi"/>
        </w:rPr>
        <w:tab/>
        <w:t xml:space="preserve">Sept </w:t>
      </w:r>
      <w:r>
        <w:rPr>
          <w:rFonts w:cstheme="minorHAnsi"/>
        </w:rPr>
        <w:t>2</w:t>
      </w:r>
      <w:r w:rsidRPr="009B2637">
        <w:rPr>
          <w:rFonts w:cstheme="minorHAnsi"/>
          <w:vertAlign w:val="superscript"/>
        </w:rPr>
        <w:t>nd</w:t>
      </w:r>
      <w:r>
        <w:rPr>
          <w:rFonts w:cstheme="minorHAnsi"/>
        </w:rPr>
        <w:t xml:space="preserve"> – 8</w:t>
      </w:r>
      <w:r w:rsidRPr="009B2637">
        <w:rPr>
          <w:rFonts w:cstheme="minorHAnsi"/>
          <w:vertAlign w:val="superscript"/>
        </w:rPr>
        <w:t>th</w:t>
      </w:r>
      <w:r>
        <w:rPr>
          <w:rFonts w:cstheme="minorHAnsi"/>
        </w:rPr>
        <w:t xml:space="preserve">  </w:t>
      </w:r>
      <w:r>
        <w:rPr>
          <w:rFonts w:cstheme="minorHAnsi"/>
        </w:rPr>
        <w:tab/>
      </w:r>
      <w:r>
        <w:rPr>
          <w:rFonts w:cstheme="minorHAnsi"/>
        </w:rPr>
        <w:tab/>
      </w:r>
      <w:r w:rsidRPr="0024022F">
        <w:rPr>
          <w:rFonts w:cstheme="minorHAnsi"/>
        </w:rPr>
        <w:t>Chapter 6: Criminal Aspects of Health Care</w:t>
      </w:r>
      <w:r>
        <w:rPr>
          <w:rFonts w:cstheme="minorHAnsi"/>
        </w:rPr>
        <w:t xml:space="preserve"> </w:t>
      </w:r>
      <w:r w:rsidRPr="0024022F">
        <w:rPr>
          <w:rFonts w:cstheme="minorHAnsi"/>
        </w:rPr>
        <w:t xml:space="preserve">      </w:t>
      </w:r>
      <w:r w:rsidRPr="0024022F">
        <w:rPr>
          <w:rFonts w:cstheme="minorHAnsi"/>
        </w:rPr>
        <w:tab/>
      </w:r>
      <w:r>
        <w:rPr>
          <w:rFonts w:cstheme="minorHAnsi"/>
        </w:rPr>
        <w:tab/>
        <w:t>87 – 174</w:t>
      </w:r>
    </w:p>
    <w:p w:rsidR="009B2637" w:rsidRPr="0024022F" w:rsidRDefault="009B2637" w:rsidP="009B2637">
      <w:pPr>
        <w:ind w:left="1620" w:right="-720" w:firstLine="1260"/>
        <w:rPr>
          <w:rFonts w:cstheme="minorHAnsi"/>
        </w:rPr>
      </w:pPr>
      <w:r w:rsidRPr="0024022F">
        <w:rPr>
          <w:rFonts w:cstheme="minorHAnsi"/>
        </w:rPr>
        <w:t>Chapter 7: Contracts and Antitrust</w:t>
      </w:r>
      <w:r w:rsidRPr="0024022F">
        <w:rPr>
          <w:rFonts w:cstheme="minorHAnsi"/>
        </w:rPr>
        <w:tab/>
      </w:r>
      <w:r w:rsidRPr="0024022F">
        <w:rPr>
          <w:rFonts w:cstheme="minorHAnsi"/>
        </w:rPr>
        <w:tab/>
      </w:r>
      <w:r w:rsidRPr="0024022F">
        <w:rPr>
          <w:rFonts w:cstheme="minorHAnsi"/>
        </w:rPr>
        <w:tab/>
      </w:r>
      <w:r w:rsidRPr="0024022F">
        <w:rPr>
          <w:rFonts w:cstheme="minorHAnsi"/>
        </w:rPr>
        <w:tab/>
        <w:t xml:space="preserve"> </w:t>
      </w:r>
    </w:p>
    <w:p w:rsidR="009B2637" w:rsidRDefault="009B2637" w:rsidP="009B2637">
      <w:pPr>
        <w:ind w:left="-540"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Chapter 8: Civil Procedure and Trial Practic</w:t>
      </w:r>
      <w:r>
        <w:rPr>
          <w:rFonts w:cstheme="minorHAnsi"/>
        </w:rPr>
        <w:t>e</w:t>
      </w:r>
    </w:p>
    <w:p w:rsidR="009B2637" w:rsidRPr="0024022F" w:rsidRDefault="009B2637" w:rsidP="003728A1">
      <w:pPr>
        <w:ind w:left="-540" w:right="-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rsidR="009B2637" w:rsidRDefault="009B2637" w:rsidP="009B2637">
      <w:pPr>
        <w:ind w:left="-540" w:right="-720"/>
        <w:rPr>
          <w:rFonts w:cstheme="minorHAnsi"/>
        </w:rPr>
      </w:pPr>
      <w:r w:rsidRPr="0024022F">
        <w:rPr>
          <w:rFonts w:cstheme="minorHAnsi"/>
        </w:rPr>
        <w:t>4</w:t>
      </w:r>
      <w:r w:rsidRPr="0024022F">
        <w:rPr>
          <w:rFonts w:cstheme="minorHAnsi"/>
        </w:rPr>
        <w:tab/>
      </w:r>
      <w:r w:rsidRPr="0024022F">
        <w:rPr>
          <w:rFonts w:cstheme="minorHAnsi"/>
        </w:rPr>
        <w:tab/>
        <w:t xml:space="preserve">Sept </w:t>
      </w:r>
      <w:r w:rsidR="003728A1">
        <w:rPr>
          <w:rFonts w:cstheme="minorHAnsi"/>
        </w:rPr>
        <w:t>9</w:t>
      </w:r>
      <w:r w:rsidR="003728A1" w:rsidRPr="003728A1">
        <w:rPr>
          <w:rFonts w:cstheme="minorHAnsi"/>
          <w:vertAlign w:val="superscript"/>
        </w:rPr>
        <w:t>th</w:t>
      </w:r>
      <w:r w:rsidR="003728A1">
        <w:rPr>
          <w:rFonts w:cstheme="minorHAnsi"/>
        </w:rPr>
        <w:t xml:space="preserve"> – 15</w:t>
      </w:r>
      <w:r w:rsidR="003728A1" w:rsidRPr="003728A1">
        <w:rPr>
          <w:rFonts w:cstheme="minorHAnsi"/>
          <w:vertAlign w:val="superscript"/>
        </w:rPr>
        <w:t>th</w:t>
      </w:r>
      <w:r w:rsidR="003728A1">
        <w:rPr>
          <w:rFonts w:cstheme="minorHAnsi"/>
        </w:rPr>
        <w:t xml:space="preserve"> </w:t>
      </w:r>
      <w:r>
        <w:rPr>
          <w:rFonts w:cstheme="minorHAnsi"/>
        </w:rPr>
        <w:t xml:space="preserve"> </w:t>
      </w:r>
      <w:r>
        <w:rPr>
          <w:rFonts w:cstheme="minorHAnsi"/>
        </w:rPr>
        <w:tab/>
        <w:t>Chapter 9: Corporate Structure and Legal Issues</w:t>
      </w:r>
      <w:r w:rsidRPr="0024022F">
        <w:rPr>
          <w:rFonts w:cstheme="minorHAnsi"/>
        </w:rPr>
        <w:tab/>
      </w:r>
      <w:r>
        <w:rPr>
          <w:rFonts w:cstheme="minorHAnsi"/>
        </w:rPr>
        <w:tab/>
        <w:t xml:space="preserve">176 – 292 </w:t>
      </w:r>
    </w:p>
    <w:p w:rsidR="009B2637" w:rsidRPr="0024022F" w:rsidRDefault="009B2637" w:rsidP="009B2637">
      <w:pPr>
        <w:ind w:left="1620" w:right="-720" w:firstLine="1260"/>
        <w:rPr>
          <w:rFonts w:cstheme="minorHAnsi"/>
        </w:rPr>
      </w:pPr>
      <w:r w:rsidRPr="0024022F">
        <w:rPr>
          <w:rFonts w:cstheme="minorHAnsi"/>
        </w:rPr>
        <w:t xml:space="preserve">Chapter 10: Medical Staff Organization and </w:t>
      </w:r>
      <w:r>
        <w:rPr>
          <w:rFonts w:cstheme="minorHAnsi"/>
        </w:rPr>
        <w:t>Malpractice</w:t>
      </w:r>
      <w:r w:rsidRPr="0024022F">
        <w:rPr>
          <w:rFonts w:cstheme="minorHAnsi"/>
        </w:rPr>
        <w:tab/>
      </w:r>
      <w:r>
        <w:rPr>
          <w:rFonts w:cstheme="minorHAnsi"/>
        </w:rPr>
        <w:t xml:space="preserve"> </w:t>
      </w:r>
    </w:p>
    <w:p w:rsidR="009B2637" w:rsidRPr="0024022F" w:rsidRDefault="009B2637" w:rsidP="009B2637">
      <w:pPr>
        <w:ind w:left="2880" w:right="-720"/>
        <w:rPr>
          <w:rFonts w:cstheme="minorHAnsi"/>
        </w:rPr>
      </w:pPr>
      <w:r w:rsidRPr="0024022F">
        <w:rPr>
          <w:rFonts w:cstheme="minorHAnsi"/>
        </w:rPr>
        <w:t xml:space="preserve">Chapter 11: Nursing and the Law </w:t>
      </w:r>
    </w:p>
    <w:p w:rsidR="009B2637" w:rsidRPr="0024022F" w:rsidRDefault="009B2637" w:rsidP="009B2637">
      <w:pPr>
        <w:ind w:right="-720"/>
        <w:rPr>
          <w:rFonts w:cstheme="minorHAnsi"/>
        </w:rPr>
      </w:pPr>
    </w:p>
    <w:p w:rsidR="009B2637" w:rsidRPr="0024022F" w:rsidRDefault="009B2637" w:rsidP="009B2637">
      <w:pPr>
        <w:tabs>
          <w:tab w:val="left" w:pos="8640"/>
        </w:tabs>
        <w:ind w:left="1620" w:right="-720" w:hanging="2160"/>
        <w:rPr>
          <w:rFonts w:cstheme="minorHAnsi"/>
        </w:rPr>
      </w:pPr>
      <w:r w:rsidRPr="0024022F">
        <w:rPr>
          <w:rFonts w:cstheme="minorHAnsi"/>
        </w:rPr>
        <w:t>5</w:t>
      </w:r>
      <w:r>
        <w:rPr>
          <w:rFonts w:cstheme="minorHAnsi"/>
        </w:rPr>
        <w:t xml:space="preserve">                   </w:t>
      </w:r>
      <w:r w:rsidRPr="0024022F">
        <w:rPr>
          <w:rFonts w:cstheme="minorHAnsi"/>
        </w:rPr>
        <w:t xml:space="preserve">Sept </w:t>
      </w:r>
      <w:r w:rsidR="003728A1">
        <w:rPr>
          <w:rFonts w:cstheme="minorHAnsi"/>
        </w:rPr>
        <w:t>16</w:t>
      </w:r>
      <w:r w:rsidR="003728A1" w:rsidRPr="003728A1">
        <w:rPr>
          <w:rFonts w:cstheme="minorHAnsi"/>
          <w:vertAlign w:val="superscript"/>
        </w:rPr>
        <w:t>th</w:t>
      </w:r>
      <w:r w:rsidR="003728A1">
        <w:rPr>
          <w:rFonts w:cstheme="minorHAnsi"/>
        </w:rPr>
        <w:t xml:space="preserve"> – 22</w:t>
      </w:r>
      <w:r w:rsidR="003728A1" w:rsidRPr="003728A1">
        <w:rPr>
          <w:rFonts w:cstheme="minorHAnsi"/>
          <w:vertAlign w:val="superscript"/>
        </w:rPr>
        <w:t>nd</w:t>
      </w:r>
      <w:r>
        <w:rPr>
          <w:rFonts w:cstheme="minorHAnsi"/>
        </w:rPr>
        <w:t xml:space="preserve"> </w:t>
      </w:r>
      <w:r w:rsidRPr="0024022F">
        <w:rPr>
          <w:rFonts w:cstheme="minorHAnsi"/>
        </w:rPr>
        <w:t xml:space="preserve"> </w:t>
      </w:r>
      <w:r>
        <w:rPr>
          <w:rFonts w:cstheme="minorHAnsi"/>
        </w:rPr>
        <w:t xml:space="preserve">            </w:t>
      </w:r>
      <w:r w:rsidRPr="0024022F">
        <w:rPr>
          <w:rFonts w:cstheme="minorHAnsi"/>
        </w:rPr>
        <w:t xml:space="preserve">Chapter 12: Hospital Departments and Allied Professionals </w:t>
      </w:r>
      <w:r>
        <w:rPr>
          <w:rFonts w:cstheme="minorHAnsi"/>
        </w:rPr>
        <w:t xml:space="preserve"> 294 – 366 </w:t>
      </w:r>
    </w:p>
    <w:p w:rsidR="009B2637" w:rsidRPr="0024022F" w:rsidRDefault="009B2637" w:rsidP="009B2637">
      <w:pPr>
        <w:ind w:left="2160" w:right="-720" w:firstLine="720"/>
        <w:rPr>
          <w:rFonts w:cstheme="minorHAnsi"/>
        </w:rPr>
      </w:pPr>
      <w:r w:rsidRPr="0024022F">
        <w:rPr>
          <w:rFonts w:cstheme="minorHAnsi"/>
        </w:rPr>
        <w:t xml:space="preserve">Chapter 13: </w:t>
      </w:r>
      <w:r>
        <w:rPr>
          <w:rFonts w:cstheme="minorHAnsi"/>
        </w:rPr>
        <w:t>Information Management and Patient Records</w:t>
      </w:r>
      <w:r w:rsidRPr="0024022F">
        <w:rPr>
          <w:rFonts w:cstheme="minorHAnsi"/>
        </w:rPr>
        <w:tab/>
      </w:r>
      <w:r w:rsidRPr="0024022F">
        <w:rPr>
          <w:rFonts w:cstheme="minorHAnsi"/>
        </w:rPr>
        <w:tab/>
      </w:r>
      <w:r w:rsidRPr="0024022F">
        <w:rPr>
          <w:rFonts w:cstheme="minorHAnsi"/>
        </w:rPr>
        <w:tab/>
      </w:r>
      <w:r>
        <w:rPr>
          <w:rFonts w:cstheme="minorHAnsi"/>
        </w:rPr>
        <w:tab/>
      </w:r>
    </w:p>
    <w:p w:rsidR="009B2637" w:rsidRPr="0024022F" w:rsidRDefault="009B2637" w:rsidP="009B2637">
      <w:pPr>
        <w:ind w:left="-540" w:right="-720"/>
        <w:rPr>
          <w:rFonts w:cstheme="minorHAnsi"/>
        </w:rPr>
      </w:pPr>
      <w:r w:rsidRPr="0024022F">
        <w:rPr>
          <w:rFonts w:cstheme="minorHAnsi"/>
        </w:rPr>
        <w:t>6</w:t>
      </w:r>
      <w:r w:rsidRPr="0024022F">
        <w:rPr>
          <w:rFonts w:cstheme="minorHAnsi"/>
        </w:rPr>
        <w:tab/>
      </w:r>
      <w:r w:rsidRPr="0024022F">
        <w:rPr>
          <w:rFonts w:cstheme="minorHAnsi"/>
        </w:rPr>
        <w:tab/>
        <w:t xml:space="preserve">Sept </w:t>
      </w:r>
      <w:r w:rsidR="003728A1">
        <w:rPr>
          <w:rFonts w:cstheme="minorHAnsi"/>
        </w:rPr>
        <w:t>23</w:t>
      </w:r>
      <w:r w:rsidR="003728A1" w:rsidRPr="003728A1">
        <w:rPr>
          <w:rFonts w:cstheme="minorHAnsi"/>
          <w:vertAlign w:val="superscript"/>
        </w:rPr>
        <w:t>rd</w:t>
      </w:r>
      <w:r w:rsidR="003728A1">
        <w:rPr>
          <w:rFonts w:cstheme="minorHAnsi"/>
        </w:rPr>
        <w:t xml:space="preserve"> – 29</w:t>
      </w:r>
      <w:r w:rsidR="003728A1" w:rsidRPr="003728A1">
        <w:rPr>
          <w:rFonts w:cstheme="minorHAnsi"/>
          <w:vertAlign w:val="superscript"/>
        </w:rPr>
        <w:t>th</w:t>
      </w:r>
      <w:r w:rsidR="003728A1">
        <w:rPr>
          <w:rFonts w:cstheme="minorHAnsi"/>
        </w:rPr>
        <w:t xml:space="preserve"> </w:t>
      </w:r>
      <w:r>
        <w:rPr>
          <w:rFonts w:cstheme="minorHAnsi"/>
        </w:rPr>
        <w:t xml:space="preserve"> </w:t>
      </w:r>
      <w:r w:rsidRPr="0024022F">
        <w:rPr>
          <w:rFonts w:cstheme="minorHAnsi"/>
        </w:rPr>
        <w:tab/>
        <w:t xml:space="preserve"> Mid-term Examination</w:t>
      </w:r>
    </w:p>
    <w:p w:rsidR="009B2637" w:rsidRPr="0024022F" w:rsidRDefault="009B2637" w:rsidP="009B2637">
      <w:pPr>
        <w:ind w:left="-540" w:right="-720"/>
        <w:rPr>
          <w:rFonts w:cstheme="minorHAnsi"/>
        </w:rPr>
      </w:pPr>
    </w:p>
    <w:p w:rsidR="009B2637" w:rsidRDefault="009B2637" w:rsidP="009B2637">
      <w:pPr>
        <w:ind w:left="-540" w:right="-720"/>
        <w:rPr>
          <w:rFonts w:cstheme="minorHAnsi"/>
        </w:rPr>
      </w:pPr>
      <w:r w:rsidRPr="0024022F">
        <w:rPr>
          <w:rFonts w:cstheme="minorHAnsi"/>
        </w:rPr>
        <w:t>7</w:t>
      </w:r>
      <w:r w:rsidRPr="0024022F">
        <w:rPr>
          <w:rFonts w:cstheme="minorHAnsi"/>
        </w:rPr>
        <w:tab/>
      </w:r>
      <w:r w:rsidRPr="0024022F">
        <w:rPr>
          <w:rFonts w:cstheme="minorHAnsi"/>
        </w:rPr>
        <w:tab/>
      </w:r>
      <w:r w:rsidR="003728A1">
        <w:rPr>
          <w:rFonts w:cstheme="minorHAnsi"/>
        </w:rPr>
        <w:t>Sep 30</w:t>
      </w:r>
      <w:r w:rsidR="003728A1" w:rsidRPr="003728A1">
        <w:rPr>
          <w:rFonts w:cstheme="minorHAnsi"/>
          <w:vertAlign w:val="superscript"/>
        </w:rPr>
        <w:t>th</w:t>
      </w:r>
      <w:r w:rsidR="003728A1">
        <w:rPr>
          <w:rFonts w:cstheme="minorHAnsi"/>
        </w:rPr>
        <w:t xml:space="preserve"> – Oct 6</w:t>
      </w:r>
      <w:r w:rsidR="003728A1" w:rsidRPr="003728A1">
        <w:rPr>
          <w:rFonts w:cstheme="minorHAnsi"/>
          <w:vertAlign w:val="superscript"/>
        </w:rPr>
        <w:t>th</w:t>
      </w:r>
      <w:r w:rsidR="003728A1">
        <w:rPr>
          <w:rFonts w:cstheme="minorHAnsi"/>
        </w:rPr>
        <w:t xml:space="preserve"> </w:t>
      </w:r>
      <w:r>
        <w:rPr>
          <w:rFonts w:cstheme="minorHAnsi"/>
        </w:rPr>
        <w:t xml:space="preserve"> </w:t>
      </w:r>
      <w:r w:rsidRPr="0024022F">
        <w:rPr>
          <w:rFonts w:cstheme="minorHAnsi"/>
        </w:rPr>
        <w:t xml:space="preserve">  </w:t>
      </w:r>
      <w:r w:rsidRPr="0024022F">
        <w:rPr>
          <w:rFonts w:cstheme="minorHAnsi"/>
        </w:rPr>
        <w:tab/>
        <w:t xml:space="preserve">Chapter 14: </w:t>
      </w:r>
      <w:r>
        <w:rPr>
          <w:rFonts w:cstheme="minorHAnsi"/>
        </w:rPr>
        <w:t>Patient Consent, Rights, and Responsibilities</w:t>
      </w:r>
      <w:r>
        <w:rPr>
          <w:rFonts w:cstheme="minorHAnsi"/>
        </w:rPr>
        <w:tab/>
        <w:t xml:space="preserve">368 – 406 </w:t>
      </w:r>
    </w:p>
    <w:p w:rsidR="009B2637" w:rsidRDefault="009B2637" w:rsidP="009B2637">
      <w:pPr>
        <w:ind w:left="1620" w:right="-720" w:firstLine="1260"/>
        <w:rPr>
          <w:rFonts w:cstheme="minorHAnsi"/>
        </w:rPr>
      </w:pPr>
      <w:r w:rsidRPr="0024022F">
        <w:rPr>
          <w:rFonts w:cstheme="minorHAnsi"/>
        </w:rPr>
        <w:t>Chapter 16: Procreation and Ethical Dilemmas</w:t>
      </w:r>
      <w:r>
        <w:rPr>
          <w:rFonts w:cstheme="minorHAnsi"/>
        </w:rPr>
        <w:tab/>
      </w:r>
      <w:r>
        <w:rPr>
          <w:rFonts w:cstheme="minorHAnsi"/>
        </w:rPr>
        <w:tab/>
        <w:t xml:space="preserve">438 – 459 </w:t>
      </w:r>
    </w:p>
    <w:p w:rsidR="009B2637" w:rsidRDefault="009B2637" w:rsidP="003728A1">
      <w:pPr>
        <w:ind w:left="1620" w:right="-720" w:firstLine="1260"/>
        <w:rPr>
          <w:rFonts w:cstheme="minorHAnsi"/>
        </w:rPr>
      </w:pPr>
      <w:r>
        <w:rPr>
          <w:rFonts w:cstheme="minorHAnsi"/>
        </w:rPr>
        <w:tab/>
      </w:r>
      <w:r>
        <w:rPr>
          <w:rFonts w:cstheme="minorHAnsi"/>
        </w:rPr>
        <w:tab/>
        <w:t xml:space="preserve"> </w:t>
      </w:r>
    </w:p>
    <w:p w:rsidR="003728A1" w:rsidRDefault="003728A1" w:rsidP="003728A1">
      <w:pPr>
        <w:ind w:left="1620" w:right="-720" w:firstLine="1260"/>
        <w:rPr>
          <w:rFonts w:cstheme="minorHAnsi"/>
        </w:rPr>
      </w:pPr>
    </w:p>
    <w:p w:rsidR="003728A1" w:rsidRPr="0024022F" w:rsidRDefault="003728A1" w:rsidP="003728A1">
      <w:pPr>
        <w:ind w:left="1620" w:right="-720" w:firstLine="1260"/>
        <w:rPr>
          <w:rFonts w:cstheme="minorHAnsi"/>
        </w:rPr>
      </w:pPr>
    </w:p>
    <w:p w:rsidR="003728A1" w:rsidRDefault="003728A1" w:rsidP="009B2637">
      <w:pPr>
        <w:ind w:right="-720" w:hanging="540"/>
        <w:rPr>
          <w:rFonts w:cstheme="minorHAnsi"/>
        </w:rPr>
      </w:pPr>
    </w:p>
    <w:p w:rsidR="009B2637" w:rsidRDefault="009B2637" w:rsidP="009B2637">
      <w:pPr>
        <w:ind w:right="-720" w:hanging="540"/>
        <w:rPr>
          <w:rFonts w:cstheme="minorHAnsi"/>
        </w:rPr>
      </w:pPr>
      <w:r>
        <w:rPr>
          <w:rFonts w:cstheme="minorHAnsi"/>
        </w:rPr>
        <w:lastRenderedPageBreak/>
        <w:t xml:space="preserve"> </w:t>
      </w:r>
      <w:r w:rsidRPr="0024022F">
        <w:rPr>
          <w:rFonts w:cstheme="minorHAnsi"/>
        </w:rPr>
        <w:t>8</w:t>
      </w:r>
      <w:r w:rsidRPr="0024022F">
        <w:rPr>
          <w:rFonts w:cstheme="minorHAnsi"/>
        </w:rPr>
        <w:tab/>
      </w:r>
      <w:r w:rsidRPr="0024022F">
        <w:rPr>
          <w:rFonts w:cstheme="minorHAnsi"/>
        </w:rPr>
        <w:tab/>
        <w:t xml:space="preserve">Oct </w:t>
      </w:r>
      <w:r w:rsidR="003728A1">
        <w:rPr>
          <w:rFonts w:cstheme="minorHAnsi"/>
        </w:rPr>
        <w:t>7</w:t>
      </w:r>
      <w:r w:rsidR="003728A1" w:rsidRPr="003728A1">
        <w:rPr>
          <w:rFonts w:cstheme="minorHAnsi"/>
          <w:vertAlign w:val="superscript"/>
        </w:rPr>
        <w:t>th</w:t>
      </w:r>
      <w:r w:rsidR="003728A1">
        <w:rPr>
          <w:rFonts w:cstheme="minorHAnsi"/>
        </w:rPr>
        <w:t xml:space="preserve"> – 13</w:t>
      </w:r>
      <w:r w:rsidR="003728A1" w:rsidRPr="003728A1">
        <w:rPr>
          <w:rFonts w:cstheme="minorHAnsi"/>
          <w:vertAlign w:val="superscript"/>
        </w:rPr>
        <w:t>th</w:t>
      </w:r>
      <w:r w:rsidR="003728A1">
        <w:rPr>
          <w:rFonts w:cstheme="minorHAnsi"/>
        </w:rPr>
        <w:t xml:space="preserve"> </w:t>
      </w:r>
      <w:r>
        <w:rPr>
          <w:rFonts w:cstheme="minorHAnsi"/>
        </w:rPr>
        <w:t xml:space="preserve"> </w:t>
      </w:r>
      <w:r w:rsidRPr="0024022F">
        <w:rPr>
          <w:rFonts w:cstheme="minorHAnsi"/>
        </w:rPr>
        <w:t xml:space="preserve">    </w:t>
      </w:r>
      <w:r>
        <w:rPr>
          <w:rFonts w:cstheme="minorHAnsi"/>
        </w:rPr>
        <w:tab/>
        <w:t>Chapter 17: End of Life Issues</w:t>
      </w:r>
    </w:p>
    <w:p w:rsidR="009B2637" w:rsidRPr="0024022F" w:rsidRDefault="009B2637" w:rsidP="009B2637">
      <w:pPr>
        <w:ind w:right="-720" w:hanging="540"/>
        <w:rPr>
          <w:rFonts w:cstheme="minorHAnsi"/>
        </w:rPr>
      </w:pPr>
      <w:r w:rsidRPr="0024022F">
        <w:rPr>
          <w:rFonts w:cstheme="minorHAnsi"/>
        </w:rPr>
        <w:tab/>
      </w:r>
      <w:r>
        <w:rPr>
          <w:rFonts w:cstheme="minorHAnsi"/>
        </w:rPr>
        <w:tab/>
      </w:r>
      <w:r>
        <w:rPr>
          <w:rFonts w:cstheme="minorHAnsi"/>
        </w:rPr>
        <w:tab/>
      </w:r>
      <w:r>
        <w:rPr>
          <w:rFonts w:cstheme="minorHAnsi"/>
        </w:rPr>
        <w:tab/>
      </w:r>
      <w:r>
        <w:rPr>
          <w:rFonts w:cstheme="minorHAnsi"/>
        </w:rPr>
        <w:tab/>
      </w:r>
      <w:r w:rsidRPr="0024022F">
        <w:rPr>
          <w:rFonts w:cstheme="minorHAnsi"/>
        </w:rPr>
        <w:t xml:space="preserve">Chapter </w:t>
      </w:r>
      <w:r>
        <w:rPr>
          <w:rFonts w:cstheme="minorHAnsi"/>
        </w:rPr>
        <w:t>18: Legal Reporting Requirements</w:t>
      </w:r>
      <w:r w:rsidRPr="0024022F">
        <w:rPr>
          <w:rFonts w:cstheme="minorHAnsi"/>
        </w:rPr>
        <w:tab/>
      </w:r>
      <w:r>
        <w:rPr>
          <w:rFonts w:cstheme="minorHAnsi"/>
        </w:rPr>
        <w:tab/>
      </w:r>
      <w:r>
        <w:rPr>
          <w:rFonts w:cstheme="minorHAnsi"/>
        </w:rPr>
        <w:tab/>
        <w:t xml:space="preserve">461 – 513 </w:t>
      </w:r>
      <w:r w:rsidRPr="0024022F">
        <w:rPr>
          <w:rFonts w:cstheme="minorHAnsi"/>
        </w:rPr>
        <w:t xml:space="preserve"> </w:t>
      </w:r>
    </w:p>
    <w:p w:rsidR="009B2637" w:rsidRPr="0024022F" w:rsidRDefault="009B2637" w:rsidP="009B2637">
      <w:pPr>
        <w:ind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p>
    <w:p w:rsidR="009B2637" w:rsidRPr="0024022F" w:rsidRDefault="009B2637" w:rsidP="009B2637">
      <w:pPr>
        <w:ind w:right="-720" w:hanging="540"/>
        <w:rPr>
          <w:rFonts w:cstheme="minorHAnsi"/>
        </w:rPr>
      </w:pPr>
      <w:r w:rsidRPr="0024022F">
        <w:rPr>
          <w:rFonts w:cstheme="minorHAnsi"/>
        </w:rPr>
        <w:t>9</w:t>
      </w:r>
      <w:r w:rsidRPr="0024022F">
        <w:rPr>
          <w:rFonts w:cstheme="minorHAnsi"/>
        </w:rPr>
        <w:tab/>
      </w:r>
      <w:r w:rsidRPr="0024022F">
        <w:rPr>
          <w:rFonts w:cstheme="minorHAnsi"/>
        </w:rPr>
        <w:tab/>
        <w:t xml:space="preserve">Oct </w:t>
      </w:r>
      <w:r w:rsidR="003728A1">
        <w:rPr>
          <w:rFonts w:cstheme="minorHAnsi"/>
        </w:rPr>
        <w:t>14</w:t>
      </w:r>
      <w:r w:rsidR="003728A1" w:rsidRPr="003728A1">
        <w:rPr>
          <w:rFonts w:cstheme="minorHAnsi"/>
          <w:vertAlign w:val="superscript"/>
        </w:rPr>
        <w:t>th</w:t>
      </w:r>
      <w:r w:rsidR="003728A1">
        <w:rPr>
          <w:rFonts w:cstheme="minorHAnsi"/>
        </w:rPr>
        <w:t xml:space="preserve"> – 20</w:t>
      </w:r>
      <w:r w:rsidR="003728A1" w:rsidRPr="003728A1">
        <w:rPr>
          <w:rFonts w:cstheme="minorHAnsi"/>
          <w:vertAlign w:val="superscript"/>
        </w:rPr>
        <w:t>th</w:t>
      </w:r>
      <w:r w:rsidR="003728A1">
        <w:rPr>
          <w:rFonts w:cstheme="minorHAnsi"/>
        </w:rPr>
        <w:t xml:space="preserve"> </w:t>
      </w:r>
      <w:r>
        <w:rPr>
          <w:rFonts w:cstheme="minorHAnsi"/>
        </w:rPr>
        <w:t xml:space="preserve"> </w:t>
      </w:r>
      <w:r w:rsidRPr="0024022F">
        <w:rPr>
          <w:rFonts w:cstheme="minorHAnsi"/>
        </w:rPr>
        <w:t xml:space="preserve">  </w:t>
      </w:r>
      <w:r w:rsidRPr="0024022F">
        <w:rPr>
          <w:rFonts w:cstheme="minorHAnsi"/>
        </w:rPr>
        <w:tab/>
        <w:t xml:space="preserve">Chapter </w:t>
      </w:r>
      <w:r>
        <w:rPr>
          <w:rFonts w:cstheme="minorHAnsi"/>
        </w:rPr>
        <w:t>19</w:t>
      </w:r>
      <w:r w:rsidRPr="0024022F">
        <w:rPr>
          <w:rFonts w:cstheme="minorHAnsi"/>
        </w:rPr>
        <w:t>:  Labor Relations</w:t>
      </w: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r>
      <w:r>
        <w:rPr>
          <w:rFonts w:cstheme="minorHAnsi"/>
        </w:rPr>
        <w:t xml:space="preserve">515 – 562 </w:t>
      </w:r>
      <w:r w:rsidRPr="0024022F">
        <w:rPr>
          <w:rFonts w:cstheme="minorHAnsi"/>
        </w:rPr>
        <w:t xml:space="preserve"> </w:t>
      </w:r>
    </w:p>
    <w:p w:rsidR="009B2637" w:rsidRDefault="009B2637" w:rsidP="009B2637">
      <w:pPr>
        <w:ind w:left="1620" w:right="-720" w:firstLine="1260"/>
        <w:rPr>
          <w:rFonts w:cstheme="minorHAnsi"/>
        </w:rPr>
      </w:pPr>
      <w:r w:rsidRPr="0024022F">
        <w:rPr>
          <w:rFonts w:cstheme="minorHAnsi"/>
        </w:rPr>
        <w:t>Chapter 2</w:t>
      </w:r>
      <w:r>
        <w:rPr>
          <w:rFonts w:cstheme="minorHAnsi"/>
        </w:rPr>
        <w:t>0</w:t>
      </w:r>
      <w:r w:rsidRPr="0024022F">
        <w:rPr>
          <w:rFonts w:cstheme="minorHAnsi"/>
        </w:rPr>
        <w:t>:  Employment at Will</w:t>
      </w:r>
      <w:r>
        <w:rPr>
          <w:rFonts w:cstheme="minorHAnsi"/>
        </w:rPr>
        <w:t xml:space="preserve">, Rights and </w:t>
      </w:r>
    </w:p>
    <w:p w:rsidR="009B2637" w:rsidRPr="0024022F" w:rsidRDefault="009B2637" w:rsidP="009B2637">
      <w:pPr>
        <w:ind w:left="2160" w:right="-720" w:firstLine="720"/>
        <w:rPr>
          <w:rFonts w:cstheme="minorHAnsi"/>
        </w:rPr>
      </w:pPr>
      <w:r>
        <w:rPr>
          <w:rFonts w:cstheme="minorHAnsi"/>
        </w:rPr>
        <w:t>Responsibilities</w:t>
      </w:r>
    </w:p>
    <w:p w:rsidR="009B2637" w:rsidRPr="0024022F" w:rsidRDefault="009B2637" w:rsidP="009B2637">
      <w:pPr>
        <w:ind w:left="1620" w:right="-720" w:firstLine="1260"/>
        <w:rPr>
          <w:rFonts w:cstheme="minorHAnsi"/>
        </w:rPr>
      </w:pPr>
    </w:p>
    <w:p w:rsidR="009B2637" w:rsidRPr="0024022F" w:rsidRDefault="009B2637" w:rsidP="009B2637">
      <w:pPr>
        <w:ind w:left="720" w:right="-720" w:hanging="1260"/>
        <w:rPr>
          <w:rFonts w:cstheme="minorHAnsi"/>
        </w:rPr>
      </w:pPr>
      <w:r w:rsidRPr="0024022F">
        <w:rPr>
          <w:rFonts w:cstheme="minorHAnsi"/>
        </w:rPr>
        <w:t>10</w:t>
      </w:r>
      <w:r w:rsidRPr="0024022F">
        <w:rPr>
          <w:rFonts w:cstheme="minorHAnsi"/>
        </w:rPr>
        <w:tab/>
        <w:t xml:space="preserve">Oct </w:t>
      </w:r>
      <w:r w:rsidR="003728A1">
        <w:rPr>
          <w:rFonts w:cstheme="minorHAnsi"/>
        </w:rPr>
        <w:t>21</w:t>
      </w:r>
      <w:r w:rsidR="003728A1" w:rsidRPr="003728A1">
        <w:rPr>
          <w:rFonts w:cstheme="minorHAnsi"/>
          <w:vertAlign w:val="superscript"/>
        </w:rPr>
        <w:t>st</w:t>
      </w:r>
      <w:r w:rsidR="003728A1">
        <w:rPr>
          <w:rFonts w:cstheme="minorHAnsi"/>
        </w:rPr>
        <w:t xml:space="preserve"> – 27</w:t>
      </w:r>
      <w:r w:rsidR="003728A1" w:rsidRPr="003728A1">
        <w:rPr>
          <w:rFonts w:cstheme="minorHAnsi"/>
          <w:vertAlign w:val="superscript"/>
        </w:rPr>
        <w:t>th</w:t>
      </w:r>
      <w:r w:rsidR="003728A1">
        <w:rPr>
          <w:rFonts w:cstheme="minorHAnsi"/>
        </w:rPr>
        <w:t xml:space="preserve"> </w:t>
      </w:r>
      <w:r>
        <w:rPr>
          <w:rFonts w:cstheme="minorHAnsi"/>
        </w:rPr>
        <w:t xml:space="preserve"> </w:t>
      </w:r>
      <w:r w:rsidRPr="0024022F">
        <w:rPr>
          <w:rFonts w:cstheme="minorHAnsi"/>
        </w:rPr>
        <w:t xml:space="preserve">     </w:t>
      </w:r>
      <w:r w:rsidRPr="0024022F">
        <w:rPr>
          <w:rFonts w:cstheme="minorHAnsi"/>
        </w:rPr>
        <w:tab/>
        <w:t>Chapter 2</w:t>
      </w:r>
      <w:r>
        <w:rPr>
          <w:rFonts w:cstheme="minorHAnsi"/>
        </w:rPr>
        <w:t>1</w:t>
      </w:r>
      <w:r w:rsidRPr="0024022F">
        <w:rPr>
          <w:rFonts w:cstheme="minorHAnsi"/>
        </w:rPr>
        <w:t>:  Professional Liability Insurance</w:t>
      </w:r>
      <w:r w:rsidRPr="0024022F">
        <w:rPr>
          <w:rFonts w:cstheme="minorHAnsi"/>
        </w:rPr>
        <w:tab/>
      </w:r>
      <w:r w:rsidRPr="0024022F">
        <w:rPr>
          <w:rFonts w:cstheme="minorHAnsi"/>
        </w:rPr>
        <w:tab/>
      </w:r>
      <w:r w:rsidRPr="0024022F">
        <w:rPr>
          <w:rFonts w:cstheme="minorHAnsi"/>
        </w:rPr>
        <w:tab/>
      </w:r>
      <w:r>
        <w:rPr>
          <w:rFonts w:cstheme="minorHAnsi"/>
        </w:rPr>
        <w:t xml:space="preserve">563 – 589 </w:t>
      </w:r>
      <w:r w:rsidRPr="0024022F">
        <w:rPr>
          <w:rFonts w:cstheme="minorHAnsi"/>
        </w:rPr>
        <w:t xml:space="preserve"> </w:t>
      </w:r>
    </w:p>
    <w:p w:rsidR="009B2637" w:rsidRPr="0024022F" w:rsidRDefault="009B2637" w:rsidP="009B2637">
      <w:pPr>
        <w:ind w:left="2880" w:right="-720"/>
        <w:rPr>
          <w:rFonts w:cstheme="minorHAnsi"/>
        </w:rPr>
      </w:pPr>
      <w:r w:rsidRPr="0024022F">
        <w:rPr>
          <w:rFonts w:cstheme="minorHAnsi"/>
        </w:rPr>
        <w:t xml:space="preserve">Chapter 24:  </w:t>
      </w:r>
      <w:r>
        <w:rPr>
          <w:rFonts w:cstheme="minorHAnsi"/>
        </w:rPr>
        <w:t>Managed Care and National Health Insurance</w:t>
      </w:r>
      <w:r w:rsidRPr="0024022F">
        <w:rPr>
          <w:rFonts w:cstheme="minorHAnsi"/>
        </w:rPr>
        <w:t xml:space="preserve"> </w:t>
      </w:r>
    </w:p>
    <w:p w:rsidR="009B2637" w:rsidRPr="0024022F" w:rsidRDefault="009B2637" w:rsidP="009B2637">
      <w:pPr>
        <w:ind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t>Term Paper and Book Review Now Due</w:t>
      </w:r>
    </w:p>
    <w:p w:rsidR="009B2637" w:rsidRPr="0024022F" w:rsidRDefault="009B2637" w:rsidP="009B2637">
      <w:pPr>
        <w:ind w:right="-720"/>
        <w:rPr>
          <w:rFonts w:cstheme="minorHAnsi"/>
        </w:rPr>
      </w:pPr>
    </w:p>
    <w:p w:rsidR="009B2637" w:rsidRPr="0024022F" w:rsidRDefault="009B2637" w:rsidP="009B2637">
      <w:pPr>
        <w:ind w:left="-540" w:right="-720"/>
        <w:rPr>
          <w:rFonts w:cstheme="minorHAnsi"/>
        </w:rPr>
      </w:pPr>
      <w:r w:rsidRPr="0024022F">
        <w:rPr>
          <w:rFonts w:cstheme="minorHAnsi"/>
        </w:rPr>
        <w:t>11</w:t>
      </w:r>
      <w:r w:rsidRPr="0024022F">
        <w:rPr>
          <w:rFonts w:cstheme="minorHAnsi"/>
        </w:rPr>
        <w:tab/>
      </w:r>
      <w:r w:rsidRPr="0024022F">
        <w:rPr>
          <w:rFonts w:cstheme="minorHAnsi"/>
        </w:rPr>
        <w:tab/>
        <w:t xml:space="preserve">Oct </w:t>
      </w:r>
      <w:r w:rsidR="003728A1">
        <w:rPr>
          <w:rFonts w:cstheme="minorHAnsi"/>
        </w:rPr>
        <w:t>28</w:t>
      </w:r>
      <w:r w:rsidR="003728A1" w:rsidRPr="003728A1">
        <w:rPr>
          <w:rFonts w:cstheme="minorHAnsi"/>
          <w:vertAlign w:val="superscript"/>
        </w:rPr>
        <w:t>th</w:t>
      </w:r>
      <w:r w:rsidR="003728A1">
        <w:rPr>
          <w:rFonts w:cstheme="minorHAnsi"/>
        </w:rPr>
        <w:t xml:space="preserve"> – Nov 2</w:t>
      </w:r>
      <w:r w:rsidR="003728A1" w:rsidRPr="003728A1">
        <w:rPr>
          <w:rFonts w:cstheme="minorHAnsi"/>
          <w:vertAlign w:val="superscript"/>
        </w:rPr>
        <w:t>nd</w:t>
      </w:r>
      <w:r w:rsidR="003728A1">
        <w:rPr>
          <w:rFonts w:cstheme="minorHAnsi"/>
        </w:rPr>
        <w:t xml:space="preserve"> </w:t>
      </w:r>
      <w:r w:rsidR="003728A1">
        <w:rPr>
          <w:rFonts w:cstheme="minorHAnsi"/>
          <w:color w:val="FF0000"/>
        </w:rPr>
        <w:t>*</w:t>
      </w:r>
      <w:r w:rsidRPr="0024022F">
        <w:rPr>
          <w:rFonts w:cstheme="minorHAnsi"/>
        </w:rPr>
        <w:t xml:space="preserve">     Final Exam </w:t>
      </w:r>
    </w:p>
    <w:p w:rsidR="009B2637" w:rsidRDefault="009B2637" w:rsidP="009B2637">
      <w:pPr>
        <w:ind w:left="-540" w:right="-720"/>
        <w:rPr>
          <w:rFonts w:cstheme="minorHAnsi"/>
        </w:rPr>
      </w:pPr>
    </w:p>
    <w:p w:rsidR="009B2637" w:rsidRDefault="009B2637" w:rsidP="009B2637">
      <w:pPr>
        <w:ind w:left="-540" w:right="-720"/>
        <w:rPr>
          <w:rFonts w:cstheme="minorHAnsi"/>
        </w:rPr>
      </w:pPr>
    </w:p>
    <w:p w:rsidR="009B2637" w:rsidRDefault="009B2637" w:rsidP="009B2637">
      <w:pPr>
        <w:ind w:left="-540" w:right="-720"/>
        <w:rPr>
          <w:rFonts w:cstheme="minorHAnsi"/>
        </w:rPr>
      </w:pPr>
    </w:p>
    <w:p w:rsidR="009B2637" w:rsidRDefault="009B2637" w:rsidP="009B2637">
      <w:pPr>
        <w:ind w:left="-540" w:right="-720"/>
        <w:rPr>
          <w:rFonts w:cstheme="minorHAnsi"/>
        </w:rPr>
      </w:pPr>
    </w:p>
    <w:p w:rsidR="009B2637" w:rsidRDefault="009B2637" w:rsidP="009B2637">
      <w:pPr>
        <w:ind w:left="-540" w:right="-720"/>
        <w:rPr>
          <w:rFonts w:cstheme="minorHAnsi"/>
        </w:rPr>
      </w:pPr>
    </w:p>
    <w:p w:rsidR="009B2637" w:rsidRDefault="009B2637" w:rsidP="009B2637">
      <w:pPr>
        <w:ind w:left="-540" w:right="-720"/>
        <w:rPr>
          <w:rFonts w:cstheme="minorHAnsi"/>
        </w:rPr>
      </w:pPr>
    </w:p>
    <w:p w:rsidR="009B2637" w:rsidRPr="0024022F" w:rsidRDefault="009B2637" w:rsidP="009B2637">
      <w:pPr>
        <w:ind w:left="-540" w:right="-720"/>
        <w:rPr>
          <w:rFonts w:cstheme="minorHAnsi"/>
        </w:rPr>
      </w:pPr>
    </w:p>
    <w:p w:rsidR="009B2637" w:rsidRPr="0024022F" w:rsidRDefault="009B2637" w:rsidP="009B2637">
      <w:pPr>
        <w:ind w:left="-540" w:right="-720"/>
        <w:rPr>
          <w:rFonts w:cstheme="minorHAnsi"/>
          <w:color w:val="FF0000"/>
        </w:rPr>
      </w:pPr>
      <w:r w:rsidRPr="0024022F">
        <w:rPr>
          <w:rFonts w:cstheme="minorHAnsi"/>
          <w:color w:val="FF0000"/>
        </w:rPr>
        <w:t xml:space="preserve">*Term ends on Nov </w:t>
      </w:r>
      <w:r w:rsidR="003728A1">
        <w:rPr>
          <w:rFonts w:cstheme="minorHAnsi"/>
          <w:color w:val="FF0000"/>
        </w:rPr>
        <w:t>2</w:t>
      </w:r>
      <w:r w:rsidR="003728A1" w:rsidRPr="003728A1">
        <w:rPr>
          <w:rFonts w:cstheme="minorHAnsi"/>
          <w:color w:val="FF0000"/>
          <w:vertAlign w:val="superscript"/>
        </w:rPr>
        <w:t>nd</w:t>
      </w:r>
      <w:r w:rsidR="003728A1">
        <w:rPr>
          <w:rFonts w:cstheme="minorHAnsi"/>
          <w:color w:val="FF0000"/>
        </w:rPr>
        <w:t xml:space="preserve"> </w:t>
      </w:r>
      <w:r w:rsidRPr="0024022F">
        <w:rPr>
          <w:rFonts w:cstheme="minorHAnsi"/>
          <w:color w:val="FF0000"/>
        </w:rPr>
        <w:t xml:space="preserve"> at 11:59 p.m., C</w:t>
      </w:r>
      <w:r>
        <w:rPr>
          <w:rFonts w:cstheme="minorHAnsi"/>
          <w:color w:val="FF0000"/>
        </w:rPr>
        <w:t>S</w:t>
      </w:r>
      <w:r w:rsidRPr="0024022F">
        <w:rPr>
          <w:rFonts w:cstheme="minorHAnsi"/>
          <w:color w:val="FF0000"/>
        </w:rPr>
        <w:t>T.</w:t>
      </w:r>
    </w:p>
    <w:p w:rsidR="009B2637" w:rsidRDefault="009B2637" w:rsidP="009B2637">
      <w:pPr>
        <w:ind w:left="720" w:right="-720" w:hanging="1260"/>
        <w:rPr>
          <w:rFonts w:ascii="Times New Roman" w:hAnsi="Times New Roman"/>
          <w:sz w:val="22"/>
        </w:rPr>
      </w:pPr>
    </w:p>
    <w:p w:rsidR="009B2637" w:rsidRPr="00417929" w:rsidRDefault="009B2637" w:rsidP="00930EB6"/>
    <w:sectPr w:rsidR="009B2637" w:rsidRPr="00417929" w:rsidSect="000B12A1">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f_segoe-ui_normal">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3222"/>
    <w:multiLevelType w:val="hybridMultilevel"/>
    <w:tmpl w:val="755A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E6F7E"/>
    <w:multiLevelType w:val="hybridMultilevel"/>
    <w:tmpl w:val="2B1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3264D"/>
    <w:multiLevelType w:val="hybridMultilevel"/>
    <w:tmpl w:val="0F045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911B9"/>
    <w:multiLevelType w:val="hybridMultilevel"/>
    <w:tmpl w:val="089497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2A1"/>
    <w:rsid w:val="000B1F29"/>
    <w:rsid w:val="0026208D"/>
    <w:rsid w:val="00295CFB"/>
    <w:rsid w:val="00331FE2"/>
    <w:rsid w:val="003728A1"/>
    <w:rsid w:val="003C1BDD"/>
    <w:rsid w:val="00417929"/>
    <w:rsid w:val="00445D8C"/>
    <w:rsid w:val="004A1594"/>
    <w:rsid w:val="004B2CBF"/>
    <w:rsid w:val="006C7981"/>
    <w:rsid w:val="0075559E"/>
    <w:rsid w:val="007C39D5"/>
    <w:rsid w:val="008A3C8B"/>
    <w:rsid w:val="00930EB6"/>
    <w:rsid w:val="009B2637"/>
    <w:rsid w:val="009B7A28"/>
    <w:rsid w:val="009F294B"/>
    <w:rsid w:val="00A37EE0"/>
    <w:rsid w:val="00A573CF"/>
    <w:rsid w:val="00AB4DDB"/>
    <w:rsid w:val="00B1202B"/>
    <w:rsid w:val="00B93A0E"/>
    <w:rsid w:val="00D144D2"/>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684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9B2637"/>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93A0E"/>
    <w:rPr>
      <w:color w:val="0563C1" w:themeColor="hyperlink"/>
      <w:u w:val="single"/>
    </w:rPr>
  </w:style>
  <w:style w:type="character" w:styleId="UnresolvedMention">
    <w:name w:val="Unresolved Mention"/>
    <w:basedOn w:val="DefaultParagraphFont"/>
    <w:uiPriority w:val="99"/>
    <w:semiHidden/>
    <w:unhideWhenUsed/>
    <w:rsid w:val="00B93A0E"/>
    <w:rPr>
      <w:color w:val="605E5C"/>
      <w:shd w:val="clear" w:color="auto" w:fill="E1DFDD"/>
    </w:rPr>
  </w:style>
  <w:style w:type="character" w:customStyle="1" w:styleId="Heading3Char">
    <w:name w:val="Heading 3 Char"/>
    <w:basedOn w:val="DefaultParagraphFont"/>
    <w:link w:val="Heading3"/>
    <w:uiPriority w:val="9"/>
    <w:semiHidden/>
    <w:rsid w:val="009B2637"/>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B2637"/>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9B2637"/>
    <w:rPr>
      <w:rFonts w:ascii="Courier New" w:eastAsia="Times New Roman" w:hAnsi="Courier New" w:cs="Times New Roman"/>
      <w:sz w:val="24"/>
      <w:szCs w:val="20"/>
    </w:rPr>
  </w:style>
  <w:style w:type="paragraph" w:styleId="NoSpacing">
    <w:name w:val="No Spacing"/>
    <w:uiPriority w:val="1"/>
    <w:qFormat/>
    <w:rsid w:val="0075559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1638">
      <w:bodyDiv w:val="1"/>
      <w:marLeft w:val="0"/>
      <w:marRight w:val="0"/>
      <w:marTop w:val="0"/>
      <w:marBottom w:val="0"/>
      <w:divBdr>
        <w:top w:val="none" w:sz="0" w:space="0" w:color="auto"/>
        <w:left w:val="none" w:sz="0" w:space="0" w:color="auto"/>
        <w:bottom w:val="none" w:sz="0" w:space="0" w:color="auto"/>
        <w:right w:val="none" w:sz="0" w:space="0" w:color="auto"/>
      </w:divBdr>
    </w:div>
    <w:div w:id="20453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Co1@hughes.net" TargetMode="External"/><Relationship Id="rId3" Type="http://schemas.openxmlformats.org/officeDocument/2006/relationships/styles" Target="styles.xml"/><Relationship Id="rId7" Type="http://schemas.openxmlformats.org/officeDocument/2006/relationships/hyperlink" Target="mailto:lloyd.cannedy@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53B9-EEA1-4B3B-9B89-AE8418B4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6</cp:revision>
  <dcterms:created xsi:type="dcterms:W3CDTF">2019-07-10T19:19:00Z</dcterms:created>
  <dcterms:modified xsi:type="dcterms:W3CDTF">2019-07-13T20:22:00Z</dcterms:modified>
</cp:coreProperties>
</file>