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VC02</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8B76E5">
        <w:t xml:space="preserve"> Spring 1 - 2021</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5D20C8" w:rsidP="006C751A">
      <w:pPr>
        <w:spacing w:after="0"/>
      </w:pPr>
      <w:r>
        <w:t>January 11 - 16</w:t>
      </w:r>
      <w:r w:rsidR="006C751A">
        <w:tab/>
        <w:t xml:space="preserve"> </w:t>
      </w:r>
      <w:r w:rsidR="006C751A">
        <w:tab/>
      </w:r>
      <w:r w:rsidR="006C751A">
        <w:tab/>
        <w:t>Discussion 1</w:t>
      </w:r>
      <w:r w:rsidR="006C751A">
        <w:tab/>
      </w:r>
      <w:r w:rsidR="006C751A">
        <w:tab/>
      </w:r>
      <w:r w:rsidR="006C751A">
        <w:tab/>
        <w:t>T</w:t>
      </w:r>
      <w:r>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5D20C8" w:rsidP="006C751A">
      <w:pPr>
        <w:spacing w:after="0"/>
      </w:pPr>
      <w:r>
        <w:t>January 17 - 23</w:t>
      </w:r>
      <w:r w:rsidR="006C751A">
        <w:tab/>
      </w:r>
      <w:r w:rsidR="006C751A">
        <w:tab/>
      </w:r>
      <w:r w:rsidR="006C751A">
        <w:tab/>
        <w:t>Discussion 2</w:t>
      </w:r>
      <w:r w:rsidR="006C751A">
        <w:tab/>
      </w:r>
      <w:r w:rsidR="006C751A">
        <w:tab/>
        <w:t xml:space="preserve"> </w:t>
      </w:r>
      <w:r w:rsidR="006C751A">
        <w:tab/>
        <w:t>T</w:t>
      </w:r>
      <w:r>
        <w:t>extbook:  Chapters 4, 5 and 6</w:t>
      </w:r>
    </w:p>
    <w:p w:rsidR="006C751A" w:rsidRDefault="006C751A" w:rsidP="006C751A">
      <w:pPr>
        <w:spacing w:after="0"/>
      </w:pPr>
    </w:p>
    <w:p w:rsidR="006C751A" w:rsidRDefault="006C751A" w:rsidP="006C751A">
      <w:pPr>
        <w:spacing w:after="0"/>
      </w:pPr>
    </w:p>
    <w:p w:rsidR="006C751A" w:rsidRDefault="005D20C8" w:rsidP="006C751A">
      <w:pPr>
        <w:spacing w:after="0"/>
      </w:pPr>
      <w:r>
        <w:t>January 24 - 30</w:t>
      </w:r>
      <w:r w:rsidR="006C751A">
        <w:tab/>
      </w:r>
      <w:r w:rsidR="006C751A">
        <w:tab/>
      </w:r>
      <w:r w:rsidR="006C751A">
        <w:tab/>
        <w:t xml:space="preserve">Discussion 3 </w:t>
      </w:r>
      <w:r>
        <w:tab/>
      </w:r>
      <w:r>
        <w:tab/>
      </w:r>
      <w:r>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5D20C8" w:rsidP="006C751A">
      <w:pPr>
        <w:spacing w:after="0"/>
      </w:pPr>
      <w:r>
        <w:t>Jan 31 – February 6</w:t>
      </w:r>
      <w:r>
        <w:tab/>
      </w:r>
      <w:r>
        <w:tab/>
      </w:r>
      <w:r w:rsidR="006C751A">
        <w:t>Discussion 4</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5D20C8" w:rsidP="006C751A">
      <w:pPr>
        <w:spacing w:after="0"/>
      </w:pPr>
      <w:r>
        <w:t>February 7 – 13</w:t>
      </w:r>
      <w:r>
        <w:tab/>
      </w:r>
      <w:r w:rsidR="006C751A">
        <w:tab/>
      </w:r>
      <w:r w:rsidR="006C751A">
        <w:tab/>
        <w:t>Discussion 5</w:t>
      </w:r>
      <w:r>
        <w:tab/>
      </w:r>
      <w:r>
        <w:tab/>
      </w:r>
      <w:r>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5D20C8" w:rsidP="005D20C8">
      <w:pPr>
        <w:spacing w:after="0"/>
      </w:pPr>
      <w:r>
        <w:t>February 14 - 20</w:t>
      </w:r>
      <w:r w:rsidR="006C751A">
        <w:tab/>
      </w:r>
      <w:r w:rsidR="006C751A">
        <w:tab/>
        <w:t xml:space="preserve">Discussion 6 </w:t>
      </w:r>
      <w:r>
        <w:tab/>
      </w:r>
      <w:r>
        <w:tab/>
      </w:r>
      <w:r>
        <w:tab/>
        <w:t>Textbook:  Chapters 11, 12 and 13</w:t>
      </w:r>
    </w:p>
    <w:p w:rsidR="006C751A" w:rsidRDefault="006C751A" w:rsidP="006C751A">
      <w:pPr>
        <w:spacing w:after="0"/>
      </w:pPr>
    </w:p>
    <w:p w:rsidR="006C751A" w:rsidRDefault="006C751A" w:rsidP="006C751A">
      <w:pPr>
        <w:spacing w:after="0"/>
      </w:pPr>
    </w:p>
    <w:p w:rsidR="006C751A" w:rsidRDefault="005D20C8" w:rsidP="006C751A">
      <w:pPr>
        <w:spacing w:after="0"/>
      </w:pPr>
      <w:r>
        <w:t>February 21 - 27</w:t>
      </w:r>
      <w:r>
        <w:tab/>
      </w:r>
      <w:r>
        <w:tab/>
        <w:t xml:space="preserve">  </w:t>
      </w:r>
      <w:r w:rsidR="006C751A">
        <w:t xml:space="preserve">Discussion 7 </w:t>
      </w:r>
      <w:r w:rsidR="006C751A">
        <w:tab/>
      </w:r>
      <w:r w:rsidR="006C751A">
        <w:tab/>
      </w:r>
      <w:r w:rsidR="006C751A">
        <w:tab/>
        <w:t xml:space="preserve"> T</w:t>
      </w:r>
      <w:r>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5D20C8" w:rsidP="006C751A">
      <w:pPr>
        <w:spacing w:after="0"/>
      </w:pPr>
      <w:r>
        <w:t>Feb 28 – March 6</w:t>
      </w:r>
      <w:proofErr w:type="gramStart"/>
      <w:r>
        <w:tab/>
      </w:r>
      <w:r>
        <w:tab/>
      </w:r>
      <w:r w:rsidR="006C751A">
        <w:t>Discussion</w:t>
      </w:r>
      <w:proofErr w:type="gramEnd"/>
      <w:r w:rsidR="006C751A">
        <w:t xml:space="preserve"> 8</w:t>
      </w:r>
    </w:p>
    <w:p w:rsidR="004732FD" w:rsidRDefault="006C751A" w:rsidP="006C751A">
      <w:r>
        <w:tab/>
      </w:r>
      <w:r>
        <w:tab/>
      </w:r>
      <w:r>
        <w:tab/>
      </w:r>
      <w:r>
        <w:tab/>
        <w:t>FINAL EXAM</w:t>
      </w:r>
    </w:p>
    <w:p w:rsidR="006C751A" w:rsidRDefault="006C751A" w:rsidP="006C751A"/>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B1" w:rsidRDefault="001E7FB1" w:rsidP="002B1DF6">
      <w:pPr>
        <w:spacing w:after="0"/>
      </w:pPr>
      <w:r>
        <w:separator/>
      </w:r>
    </w:p>
  </w:endnote>
  <w:endnote w:type="continuationSeparator" w:id="0">
    <w:p w:rsidR="001E7FB1" w:rsidRDefault="001E7FB1"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Pr>
              <w:noProof/>
            </w:rPr>
            <w:t>4</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B1" w:rsidRDefault="001E7FB1" w:rsidP="002B1DF6">
      <w:pPr>
        <w:spacing w:after="0"/>
      </w:pPr>
      <w:r>
        <w:separator/>
      </w:r>
    </w:p>
  </w:footnote>
  <w:footnote w:type="continuationSeparator" w:id="0">
    <w:p w:rsidR="001E7FB1" w:rsidRDefault="001E7FB1"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39266"/>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71E7"/>
    <w:rsid w:val="0048533B"/>
    <w:rsid w:val="0048591F"/>
    <w:rsid w:val="00485DE2"/>
    <w:rsid w:val="004C49D9"/>
    <w:rsid w:val="004E2C2D"/>
    <w:rsid w:val="004E5235"/>
    <w:rsid w:val="005042F5"/>
    <w:rsid w:val="00504C03"/>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4019"/>
    <w:rsid w:val="008A1325"/>
    <w:rsid w:val="008B76E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27B50"/>
    <w:rsid w:val="00A408F0"/>
    <w:rsid w:val="00A52824"/>
    <w:rsid w:val="00A54743"/>
    <w:rsid w:val="00A875CA"/>
    <w:rsid w:val="00AB75CB"/>
    <w:rsid w:val="00AD34CF"/>
    <w:rsid w:val="00AD4C42"/>
    <w:rsid w:val="00AD7E52"/>
    <w:rsid w:val="00B01774"/>
    <w:rsid w:val="00B03977"/>
    <w:rsid w:val="00B10FDC"/>
    <w:rsid w:val="00B319D7"/>
    <w:rsid w:val="00B340C4"/>
    <w:rsid w:val="00B45FD2"/>
    <w:rsid w:val="00B53C43"/>
    <w:rsid w:val="00B570EA"/>
    <w:rsid w:val="00B71E16"/>
    <w:rsid w:val="00B9240F"/>
    <w:rsid w:val="00BB466F"/>
    <w:rsid w:val="00C0734B"/>
    <w:rsid w:val="00C2387D"/>
    <w:rsid w:val="00C31005"/>
    <w:rsid w:val="00C370C2"/>
    <w:rsid w:val="00C43288"/>
    <w:rsid w:val="00C5139D"/>
    <w:rsid w:val="00C54DF6"/>
    <w:rsid w:val="00C62764"/>
    <w:rsid w:val="00C9196C"/>
    <w:rsid w:val="00CC1F93"/>
    <w:rsid w:val="00CC2928"/>
    <w:rsid w:val="00CD37C0"/>
    <w:rsid w:val="00CE6FA7"/>
    <w:rsid w:val="00D039C6"/>
    <w:rsid w:val="00D4306D"/>
    <w:rsid w:val="00D51560"/>
    <w:rsid w:val="00D71297"/>
    <w:rsid w:val="00D72497"/>
    <w:rsid w:val="00D74ACB"/>
    <w:rsid w:val="00D825C1"/>
    <w:rsid w:val="00D91582"/>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BF5E-1D9F-41EC-8D55-F744F0FC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1586</Words>
  <Characters>9043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6</cp:revision>
  <dcterms:created xsi:type="dcterms:W3CDTF">2020-11-10T15:02:00Z</dcterms:created>
  <dcterms:modified xsi:type="dcterms:W3CDTF">2020-11-12T21:51:00Z</dcterms:modified>
</cp:coreProperties>
</file>