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6A825FFF" w:rsidR="005449EB" w:rsidRPr="00FF74CF" w:rsidRDefault="00632165" w:rsidP="00FF74CF">
      <w:pPr>
        <w:keepNext/>
        <w:widowControl w:val="0"/>
        <w:jc w:val="center"/>
        <w:outlineLvl w:val="0"/>
        <w:rPr>
          <w:b/>
          <w:snapToGrid w:val="0"/>
          <w:sz w:val="24"/>
        </w:rPr>
      </w:pPr>
      <w:r>
        <w:rPr>
          <w:b/>
          <w:snapToGrid w:val="0"/>
          <w:sz w:val="24"/>
        </w:rPr>
        <w:t>Spring I 2021 (January 11 – March 6, 2021</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7A2A9EF3"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64531B">
        <w:rPr>
          <w:color w:val="000000"/>
          <w:sz w:val="24"/>
          <w:szCs w:val="24"/>
        </w:rPr>
        <w:t>gin</w:t>
      </w:r>
      <w:r w:rsidR="00632165">
        <w:rPr>
          <w:color w:val="000000"/>
          <w:sz w:val="24"/>
          <w:szCs w:val="24"/>
        </w:rPr>
        <w:t>ning the week of February 8, 2021</w:t>
      </w:r>
    </w:p>
    <w:p w14:paraId="633E3F3D" w14:textId="16AE5665"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g the week of February 22, 2021</w:t>
      </w:r>
      <w:r>
        <w:rPr>
          <w:color w:val="000000"/>
          <w:sz w:val="24"/>
          <w:szCs w:val="24"/>
        </w:rPr>
        <w:t xml:space="preserve"> (if needed)</w:t>
      </w:r>
    </w:p>
    <w:p w14:paraId="660CF12F" w14:textId="30AF8600"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632165">
        <w:rPr>
          <w:color w:val="000000"/>
          <w:sz w:val="24"/>
          <w:szCs w:val="24"/>
        </w:rPr>
        <w:t>ination week of March 1, 2021</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2884F731" w:rsidR="00200BCC" w:rsidRPr="003614C4" w:rsidRDefault="00C10EC9" w:rsidP="00C10EC9">
      <w:pPr>
        <w:rPr>
          <w:b/>
          <w:bCs/>
          <w:sz w:val="24"/>
        </w:rPr>
      </w:pPr>
      <w:bookmarkStart w:id="0" w:name="_GoBack"/>
      <w:bookmarkEnd w:id="0"/>
      <w:r>
        <w:rPr>
          <w:rFonts w:ascii="Calibri" w:eastAsia="Calibri" w:hAnsi="Calibri" w:cs="Calibri"/>
        </w:rPr>
        <w:t xml:space="preserve"> </w:t>
      </w:r>
    </w:p>
    <w:sectPr w:rsidR="00200BCC" w:rsidRPr="003614C4"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0D75" w14:textId="77777777" w:rsidR="0041594F" w:rsidRDefault="0041594F">
      <w:r>
        <w:separator/>
      </w:r>
    </w:p>
  </w:endnote>
  <w:endnote w:type="continuationSeparator" w:id="0">
    <w:p w14:paraId="69D4B9EF" w14:textId="77777777" w:rsidR="0041594F" w:rsidRDefault="0041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071C4E2E"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3614C4">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B1E8" w14:textId="77777777" w:rsidR="0041594F" w:rsidRDefault="0041594F">
      <w:r>
        <w:separator/>
      </w:r>
    </w:p>
  </w:footnote>
  <w:footnote w:type="continuationSeparator" w:id="0">
    <w:p w14:paraId="6CCEA583" w14:textId="77777777" w:rsidR="0041594F" w:rsidRDefault="004159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427F4"/>
    <w:rsid w:val="001451FB"/>
    <w:rsid w:val="00147609"/>
    <w:rsid w:val="001622D8"/>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614C4"/>
    <w:rsid w:val="003705E1"/>
    <w:rsid w:val="003B5C05"/>
    <w:rsid w:val="003B77E0"/>
    <w:rsid w:val="003C7117"/>
    <w:rsid w:val="003E6EDC"/>
    <w:rsid w:val="004015D0"/>
    <w:rsid w:val="004031AB"/>
    <w:rsid w:val="00412ADE"/>
    <w:rsid w:val="0041594F"/>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22B9"/>
    <w:rsid w:val="005B719B"/>
    <w:rsid w:val="006001BE"/>
    <w:rsid w:val="006202C1"/>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00882"/>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53961"/>
    <w:rsid w:val="00A7489A"/>
    <w:rsid w:val="00A90F30"/>
    <w:rsid w:val="00AB0808"/>
    <w:rsid w:val="00AC087E"/>
    <w:rsid w:val="00AE49AF"/>
    <w:rsid w:val="00B217EF"/>
    <w:rsid w:val="00B21CEA"/>
    <w:rsid w:val="00B45E50"/>
    <w:rsid w:val="00B56184"/>
    <w:rsid w:val="00B64935"/>
    <w:rsid w:val="00B953EA"/>
    <w:rsid w:val="00BB0C80"/>
    <w:rsid w:val="00BF5A3B"/>
    <w:rsid w:val="00C00939"/>
    <w:rsid w:val="00C016EA"/>
    <w:rsid w:val="00C02500"/>
    <w:rsid w:val="00C10EC9"/>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6113</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5</cp:revision>
  <cp:lastPrinted>2015-12-11T17:15:00Z</cp:lastPrinted>
  <dcterms:created xsi:type="dcterms:W3CDTF">2020-11-19T17:22:00Z</dcterms:created>
  <dcterms:modified xsi:type="dcterms:W3CDTF">2020-11-19T21:48:00Z</dcterms:modified>
</cp:coreProperties>
</file>