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77C33A99" w:rsidR="004227A2" w:rsidRDefault="004227A2" w:rsidP="00FF6259">
      <w:pPr>
        <w:spacing w:after="0" w:line="360" w:lineRule="auto"/>
      </w:pPr>
      <w:r w:rsidRPr="00E624B9">
        <w:rPr>
          <w:b/>
        </w:rPr>
        <w:t>:</w:t>
      </w:r>
      <w:r>
        <w:t xml:space="preserve"> </w:t>
      </w:r>
      <w:permStart w:id="205272360" w:edGrp="everyone"/>
      <w:r w:rsidR="009D442C">
        <w:t>Spring 1-2026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0B87E5B6" w:rsidR="00E624B9" w:rsidRDefault="00E624B9" w:rsidP="000C2431">
      <w:pPr>
        <w:rPr>
          <w:rFonts w:ascii="Calibri" w:eastAsia="Times New Roman" w:hAnsi="Calibri"/>
          <w:sz w:val="24"/>
          <w:szCs w:val="24"/>
        </w:rPr>
      </w:pPr>
      <w:r w:rsidRPr="00E624B9">
        <w:rPr>
          <w:b/>
        </w:rPr>
        <w:t>:</w:t>
      </w:r>
      <w:r w:rsidR="002B3CE3" w:rsidRPr="002F4C33">
        <w:rPr>
          <w:rFonts w:cstheme="minorHAnsi"/>
          <w:shd w:val="clear" w:color="auto" w:fill="FFFFFF"/>
        </w:rPr>
        <w:t>Perrin,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77777777" w:rsidR="00AD3F8B" w:rsidRDefault="00AD3F8B" w:rsidP="00B25A5B">
      <w:pPr>
        <w:pStyle w:val="ListParagraph"/>
        <w:widowControl w:val="0"/>
        <w:numPr>
          <w:ilvl w:val="2"/>
          <w:numId w:val="9"/>
        </w:numPr>
        <w:autoSpaceDE w:val="0"/>
        <w:autoSpaceDN w:val="0"/>
        <w:spacing w:line="252" w:lineRule="exact"/>
        <w:ind w:left="630"/>
      </w:pPr>
      <w:r>
        <w:t xml:space="preserve">All assignments must be fully created, designed, and prepared by the student(s). </w:t>
      </w:r>
    </w:p>
    <w:p w14:paraId="7E484147" w14:textId="77777777" w:rsidR="00AD3F8B" w:rsidRDefault="00AD3F8B" w:rsidP="00B25A5B">
      <w:pPr>
        <w:pStyle w:val="ListParagraph"/>
        <w:widowControl w:val="0"/>
        <w:numPr>
          <w:ilvl w:val="2"/>
          <w:numId w:val="9"/>
        </w:numPr>
        <w:autoSpaceDE w:val="0"/>
        <w:autoSpaceDN w:val="0"/>
        <w:spacing w:line="252" w:lineRule="exact"/>
        <w:ind w:left="63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77777777" w:rsidR="00030560" w:rsidRPr="00F51D05" w:rsidRDefault="00030560" w:rsidP="00EF3F4A">
            <w:pPr>
              <w:rPr>
                <w:rFonts w:cstheme="minorHAnsi"/>
              </w:rPr>
            </w:pPr>
            <w:r w:rsidRPr="00F51D05">
              <w:rPr>
                <w:rFonts w:cstheme="minorHAnsi"/>
              </w:rPr>
              <w:t>Bio UNIT I</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77777777" w:rsidR="00030560" w:rsidRPr="00F51D05" w:rsidRDefault="00030560" w:rsidP="00EF3F4A">
            <w:pPr>
              <w:rPr>
                <w:rFonts w:cstheme="minorHAnsi"/>
              </w:rPr>
            </w:pPr>
            <w:r w:rsidRPr="00F51D05">
              <w:rPr>
                <w:rFonts w:cstheme="minorHAnsi"/>
              </w:rPr>
              <w:t>Open Book Quizzes (25 pts. each) UNITS I – IV</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77777777" w:rsidR="00030560" w:rsidRPr="00F51D05" w:rsidRDefault="00030560" w:rsidP="00EF3F4A">
            <w:pPr>
              <w:ind w:left="1"/>
              <w:rPr>
                <w:rFonts w:cstheme="minorHAnsi"/>
              </w:rPr>
            </w:pPr>
            <w:r w:rsidRPr="00F51D05">
              <w:rPr>
                <w:rFonts w:cstheme="minorHAnsi"/>
              </w:rPr>
              <w:t>Closed Book Quizzes (25 pts. each) UNIT I - IV</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77777777" w:rsidR="00030560" w:rsidRPr="00F51D05" w:rsidRDefault="00030560" w:rsidP="00EF3F4A">
            <w:pPr>
              <w:ind w:left="1"/>
              <w:rPr>
                <w:rFonts w:cstheme="minorHAnsi"/>
              </w:rPr>
            </w:pPr>
            <w:r w:rsidRPr="00F51D05">
              <w:rPr>
                <w:rFonts w:cstheme="minorHAnsi"/>
              </w:rPr>
              <w:t>Current Event Selection (CES)- UNIT I</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77777777" w:rsidR="00030560" w:rsidRPr="00F51D05" w:rsidRDefault="00030560" w:rsidP="00EF3F4A">
            <w:pPr>
              <w:rPr>
                <w:rFonts w:cstheme="minorHAnsi"/>
              </w:rPr>
            </w:pPr>
            <w:r w:rsidRPr="00F51D05">
              <w:rPr>
                <w:rFonts w:cstheme="minorHAnsi"/>
              </w:rPr>
              <w:t xml:space="preserve">Current Event Analysis (CEA)– Unit III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but  they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t>Tentative Schedule</w:t>
      </w:r>
    </w:p>
    <w:p w14:paraId="57361D5E" w14:textId="71161962" w:rsidR="004732FD" w:rsidRPr="00030560" w:rsidRDefault="00030560" w:rsidP="000C2431">
      <w:pPr>
        <w:rPr>
          <w:b/>
          <w:bCs/>
        </w:rPr>
      </w:pPr>
      <w:permStart w:id="290328026" w:edGrp="everyone"/>
      <w:r w:rsidRPr="00030560">
        <w:rPr>
          <w:b/>
          <w:bCs/>
        </w:rPr>
        <w:t>TBA</w:t>
      </w:r>
    </w:p>
    <w:p w14:paraId="2B1E6690" w14:textId="33479AB0" w:rsidR="00B7543B" w:rsidRPr="00B7543B" w:rsidRDefault="00B7543B" w:rsidP="00336373">
      <w:pPr>
        <w:pStyle w:val="SyllabiHeading"/>
        <w:spacing w:before="0" w:after="0" w:line="240" w:lineRule="auto"/>
        <w:rPr>
          <w:b/>
        </w:rPr>
      </w:pPr>
      <w:r w:rsidRPr="00336373">
        <w:rPr>
          <w:rFonts w:asciiTheme="minorHAnsi" w:hAnsiTheme="minorHAnsi" w:cstheme="minorHAnsi"/>
          <w:b/>
          <w:bCs/>
          <w:szCs w:val="28"/>
          <w:u w:val="single"/>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any assignment it must be submitted in the course on Blackboard. Assignments will not be accepted after their due dates except by permission from the professor which will only be granted in exigent circumstances as determined by the professor</w:t>
      </w:r>
    </w:p>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870C" w14:textId="77777777" w:rsidR="00BC717B" w:rsidRDefault="00BC717B" w:rsidP="002B1DF6">
      <w:pPr>
        <w:spacing w:after="0"/>
      </w:pPr>
      <w:r>
        <w:separator/>
      </w:r>
    </w:p>
  </w:endnote>
  <w:endnote w:type="continuationSeparator" w:id="0">
    <w:p w14:paraId="45514AF5" w14:textId="77777777" w:rsidR="00BC717B" w:rsidRDefault="00BC717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221"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415B" w14:textId="77777777" w:rsidR="00BC717B" w:rsidRDefault="00BC717B" w:rsidP="002B1DF6">
      <w:pPr>
        <w:spacing w:after="0"/>
      </w:pPr>
      <w:r>
        <w:separator/>
      </w:r>
    </w:p>
  </w:footnote>
  <w:footnote w:type="continuationSeparator" w:id="0">
    <w:p w14:paraId="57514DAC" w14:textId="77777777" w:rsidR="00BC717B" w:rsidRDefault="00BC717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B723"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0A34"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6695254">
    <w:abstractNumId w:val="6"/>
  </w:num>
  <w:num w:numId="2" w16cid:durableId="1196963892">
    <w:abstractNumId w:val="0"/>
  </w:num>
  <w:num w:numId="3" w16cid:durableId="178083407">
    <w:abstractNumId w:val="5"/>
  </w:num>
  <w:num w:numId="4" w16cid:durableId="790324951">
    <w:abstractNumId w:val="1"/>
  </w:num>
  <w:num w:numId="5" w16cid:durableId="467208617">
    <w:abstractNumId w:val="3"/>
  </w:num>
  <w:num w:numId="6" w16cid:durableId="1456408906">
    <w:abstractNumId w:val="8"/>
  </w:num>
  <w:num w:numId="7" w16cid:durableId="1336300242">
    <w:abstractNumId w:val="7"/>
  </w:num>
  <w:num w:numId="8" w16cid:durableId="1216742820">
    <w:abstractNumId w:val="4"/>
  </w:num>
  <w:num w:numId="9" w16cid:durableId="85198393">
    <w:abstractNumId w:val="10"/>
  </w:num>
  <w:num w:numId="10" w16cid:durableId="1579175120">
    <w:abstractNumId w:val="9"/>
  </w:num>
  <w:num w:numId="11" w16cid:durableId="73416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068C"/>
    <w:rsid w:val="00030560"/>
    <w:rsid w:val="0004431A"/>
    <w:rsid w:val="000748A6"/>
    <w:rsid w:val="00084227"/>
    <w:rsid w:val="000935B4"/>
    <w:rsid w:val="00093737"/>
    <w:rsid w:val="000955BD"/>
    <w:rsid w:val="000A0F3B"/>
    <w:rsid w:val="000A646C"/>
    <w:rsid w:val="000A6E7A"/>
    <w:rsid w:val="000C2431"/>
    <w:rsid w:val="000E3AD6"/>
    <w:rsid w:val="000E76C9"/>
    <w:rsid w:val="00116CAE"/>
    <w:rsid w:val="00124F9E"/>
    <w:rsid w:val="00127703"/>
    <w:rsid w:val="00162205"/>
    <w:rsid w:val="00165BC2"/>
    <w:rsid w:val="00182992"/>
    <w:rsid w:val="001B23C2"/>
    <w:rsid w:val="00201B07"/>
    <w:rsid w:val="0021744E"/>
    <w:rsid w:val="0024508F"/>
    <w:rsid w:val="00267A17"/>
    <w:rsid w:val="0027310A"/>
    <w:rsid w:val="0029114E"/>
    <w:rsid w:val="002B1DF6"/>
    <w:rsid w:val="002B2AA9"/>
    <w:rsid w:val="002B3CE3"/>
    <w:rsid w:val="002E23DE"/>
    <w:rsid w:val="002E75B9"/>
    <w:rsid w:val="002E7A29"/>
    <w:rsid w:val="00306FAF"/>
    <w:rsid w:val="00312DC8"/>
    <w:rsid w:val="00314342"/>
    <w:rsid w:val="00320C17"/>
    <w:rsid w:val="00323369"/>
    <w:rsid w:val="00336373"/>
    <w:rsid w:val="003448AB"/>
    <w:rsid w:val="003671A5"/>
    <w:rsid w:val="0039128D"/>
    <w:rsid w:val="003925A2"/>
    <w:rsid w:val="00392867"/>
    <w:rsid w:val="00395271"/>
    <w:rsid w:val="003B5A0A"/>
    <w:rsid w:val="003D2402"/>
    <w:rsid w:val="003D3A99"/>
    <w:rsid w:val="003F2B14"/>
    <w:rsid w:val="004066A3"/>
    <w:rsid w:val="004078A1"/>
    <w:rsid w:val="004227A2"/>
    <w:rsid w:val="00452059"/>
    <w:rsid w:val="004732FD"/>
    <w:rsid w:val="00485DE2"/>
    <w:rsid w:val="00497542"/>
    <w:rsid w:val="004E22DA"/>
    <w:rsid w:val="004E2C2D"/>
    <w:rsid w:val="004F2DF3"/>
    <w:rsid w:val="00500B47"/>
    <w:rsid w:val="005042F5"/>
    <w:rsid w:val="00504648"/>
    <w:rsid w:val="00504C03"/>
    <w:rsid w:val="00551AC2"/>
    <w:rsid w:val="00573FD3"/>
    <w:rsid w:val="0059315D"/>
    <w:rsid w:val="005A35D0"/>
    <w:rsid w:val="005B440E"/>
    <w:rsid w:val="005D30C8"/>
    <w:rsid w:val="005E6005"/>
    <w:rsid w:val="00605B5F"/>
    <w:rsid w:val="00654D1F"/>
    <w:rsid w:val="00691DB2"/>
    <w:rsid w:val="006A11CC"/>
    <w:rsid w:val="006A1232"/>
    <w:rsid w:val="006B3B3E"/>
    <w:rsid w:val="007200FA"/>
    <w:rsid w:val="00723490"/>
    <w:rsid w:val="00731672"/>
    <w:rsid w:val="00760F26"/>
    <w:rsid w:val="0077197E"/>
    <w:rsid w:val="00783E12"/>
    <w:rsid w:val="0078676A"/>
    <w:rsid w:val="00794217"/>
    <w:rsid w:val="007960B9"/>
    <w:rsid w:val="007A4624"/>
    <w:rsid w:val="007D5A2A"/>
    <w:rsid w:val="0080070D"/>
    <w:rsid w:val="00835832"/>
    <w:rsid w:val="00847E5F"/>
    <w:rsid w:val="00887623"/>
    <w:rsid w:val="00892B63"/>
    <w:rsid w:val="008930D2"/>
    <w:rsid w:val="008B5C81"/>
    <w:rsid w:val="008E0181"/>
    <w:rsid w:val="008E4F4D"/>
    <w:rsid w:val="00900223"/>
    <w:rsid w:val="00902E96"/>
    <w:rsid w:val="00912F59"/>
    <w:rsid w:val="009419CA"/>
    <w:rsid w:val="00965F8D"/>
    <w:rsid w:val="00980F09"/>
    <w:rsid w:val="00986E96"/>
    <w:rsid w:val="009B2264"/>
    <w:rsid w:val="009C1D13"/>
    <w:rsid w:val="009D32CA"/>
    <w:rsid w:val="009D442C"/>
    <w:rsid w:val="00A105A1"/>
    <w:rsid w:val="00A11D01"/>
    <w:rsid w:val="00A24A3B"/>
    <w:rsid w:val="00A473A2"/>
    <w:rsid w:val="00A544E4"/>
    <w:rsid w:val="00A67B54"/>
    <w:rsid w:val="00A754F6"/>
    <w:rsid w:val="00AB12BA"/>
    <w:rsid w:val="00AB3DD6"/>
    <w:rsid w:val="00AD1BFF"/>
    <w:rsid w:val="00AD3F8B"/>
    <w:rsid w:val="00AE7841"/>
    <w:rsid w:val="00B01774"/>
    <w:rsid w:val="00B03977"/>
    <w:rsid w:val="00B25A5B"/>
    <w:rsid w:val="00B71E16"/>
    <w:rsid w:val="00B7543B"/>
    <w:rsid w:val="00BB0CDA"/>
    <w:rsid w:val="00BB466F"/>
    <w:rsid w:val="00BC717B"/>
    <w:rsid w:val="00BE50DA"/>
    <w:rsid w:val="00BF0858"/>
    <w:rsid w:val="00C03FED"/>
    <w:rsid w:val="00C210C5"/>
    <w:rsid w:val="00C47095"/>
    <w:rsid w:val="00C9205E"/>
    <w:rsid w:val="00C921E3"/>
    <w:rsid w:val="00CC3FC8"/>
    <w:rsid w:val="00D4306D"/>
    <w:rsid w:val="00D71297"/>
    <w:rsid w:val="00D72497"/>
    <w:rsid w:val="00D73A78"/>
    <w:rsid w:val="00E20352"/>
    <w:rsid w:val="00E46F18"/>
    <w:rsid w:val="00E53E90"/>
    <w:rsid w:val="00E624B9"/>
    <w:rsid w:val="00E8301B"/>
    <w:rsid w:val="00E911F2"/>
    <w:rsid w:val="00E96CE9"/>
    <w:rsid w:val="00E97627"/>
    <w:rsid w:val="00EB28BA"/>
    <w:rsid w:val="00EB480C"/>
    <w:rsid w:val="00ED358E"/>
    <w:rsid w:val="00ED3BCE"/>
    <w:rsid w:val="00F21DE3"/>
    <w:rsid w:val="00F42923"/>
    <w:rsid w:val="00F502E3"/>
    <w:rsid w:val="00F53E47"/>
    <w:rsid w:val="00F61F85"/>
    <w:rsid w:val="00FA0074"/>
    <w:rsid w:val="00FA4B6E"/>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1193</Words>
  <Characters>6801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25</cp:revision>
  <cp:lastPrinted>2024-02-09T19:42:00Z</cp:lastPrinted>
  <dcterms:created xsi:type="dcterms:W3CDTF">2025-10-27T20:39:00Z</dcterms:created>
  <dcterms:modified xsi:type="dcterms:W3CDTF">2025-10-27T22:31:00Z</dcterms:modified>
</cp:coreProperties>
</file>