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Style w:val="None B"/>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B"/>
          <w:rtl w:val="0"/>
          <w:lang w:val="de-DE"/>
        </w:rPr>
        <w:t xml:space="preserve">3. COURSE NUMBER &amp; NAME: </w:t>
      </w:r>
    </w:p>
    <w:p>
      <w:pPr>
        <w:pStyle w:val="Body A"/>
      </w:pPr>
    </w:p>
    <w:p>
      <w:pPr>
        <w:pStyle w:val="Body A"/>
      </w:pPr>
      <w:r>
        <w:rPr>
          <w:rStyle w:val="None A"/>
          <w:rtl w:val="0"/>
          <w:lang w:val="en-US"/>
        </w:rPr>
        <w:t>MGMT 5306-section number, Leadership and Management Development</w:t>
      </w:r>
    </w:p>
    <w:p>
      <w:pPr>
        <w:pStyle w:val="Heading"/>
      </w:pPr>
      <w:r>
        <w:rPr>
          <w:rStyle w:val="None B"/>
          <w:rtl w:val="0"/>
          <w:lang w:val="de-DE"/>
        </w:rPr>
        <w:t xml:space="preserve">4. TERM: </w:t>
      </w:r>
    </w:p>
    <w:p>
      <w:pPr>
        <w:pStyle w:val="Body A"/>
      </w:pPr>
    </w:p>
    <w:p>
      <w:pPr>
        <w:pStyle w:val="Body A"/>
        <w:rPr>
          <w:lang w:val="en-US"/>
        </w:rPr>
      </w:pPr>
      <w:r>
        <w:rPr>
          <w:rtl w:val="0"/>
          <w:lang w:val="en-US"/>
        </w:rPr>
        <w:t>Spring 2019</w:t>
      </w:r>
    </w:p>
    <w:p>
      <w:pPr>
        <w:pStyle w:val="Body A"/>
      </w:pPr>
    </w:p>
    <w:p>
      <w:pPr>
        <w:pStyle w:val="Heading"/>
      </w:pPr>
      <w:r>
        <w:rPr>
          <w:rtl w:val="0"/>
        </w:rPr>
        <w:t xml:space="preserve">5. INSTRUCTOR: </w:t>
      </w:r>
    </w:p>
    <w:p>
      <w:pPr>
        <w:pStyle w:val="Body B"/>
        <w:spacing w:after="160" w:line="259" w:lineRule="auto"/>
        <w:rPr>
          <w:rFonts w:ascii="Calibri" w:cs="Calibri" w:hAnsi="Calibri" w:eastAsia="Calibri"/>
        </w:rPr>
      </w:pPr>
    </w:p>
    <w:p>
      <w:pPr>
        <w:pStyle w:val="Body B"/>
        <w:spacing w:after="160" w:line="259" w:lineRule="auto"/>
        <w:rPr>
          <w:rStyle w:val="None B"/>
          <w:spacing w:val="-3"/>
          <w:sz w:val="22"/>
          <w:szCs w:val="22"/>
        </w:rPr>
      </w:pPr>
      <w:r>
        <w:rPr>
          <w:rStyle w:val="None B"/>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r>
        <w:rPr>
          <w:rStyle w:val="None B"/>
          <w:rtl w:val="0"/>
          <w:lang w:val="de-DE"/>
        </w:rPr>
        <w:t xml:space="preserve">     </w:t>
      </w:r>
    </w:p>
    <w:p>
      <w:pPr>
        <w:pStyle w:val="Body A"/>
      </w:pPr>
      <w:r>
        <w:rPr>
          <w:rStyle w:val="None A"/>
          <w:rtl w:val="0"/>
          <w:lang w:val="en-US"/>
        </w:rPr>
        <w:t>Monday - Friday 6pm - 9pm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Online</w:t>
      </w:r>
    </w:p>
    <w:p>
      <w:pPr>
        <w:pStyle w:val="Body A"/>
      </w:pPr>
    </w:p>
    <w:p>
      <w:pPr>
        <w:pStyle w:val="Body A"/>
      </w:pPr>
    </w:p>
    <w:p>
      <w:pPr>
        <w:pStyle w:val="Heading"/>
      </w:pPr>
      <w:r>
        <w:rPr>
          <w:rStyle w:val="None A"/>
          <w:rtl w:val="0"/>
          <w:lang w:val="en-US"/>
        </w:rPr>
        <w:t xml:space="preserve">9. CATALOG DESCRIPTION: </w:t>
      </w:r>
    </w:p>
    <w:p>
      <w:pPr>
        <w:pStyle w:val="Body A"/>
      </w:pPr>
    </w:p>
    <w:p>
      <w:pPr>
        <w:pStyle w:val="Body A"/>
      </w:pPr>
      <w:r>
        <w:rPr>
          <w:rStyle w:val="None B"/>
          <w:rFonts w:ascii="Times New Roman" w:hAnsi="Times New Roman"/>
          <w:spacing w:val="-3"/>
          <w:sz w:val="22"/>
          <w:szCs w:val="22"/>
          <w:rtl w:val="0"/>
          <w:lang w:val="en-US"/>
        </w:rPr>
        <w:t>C</w:t>
      </w:r>
      <w:r>
        <w:rPr>
          <w:rStyle w:val="None B"/>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B"/>
          <w:color w:val="2f5496"/>
          <w:u w:color="2f5496"/>
        </w:rPr>
      </w:pPr>
      <w:r>
        <w:rPr>
          <w:rStyle w:val="None B"/>
          <w:color w:val="000000"/>
          <w:u w:color="000000"/>
          <w:rtl w:val="0"/>
          <w:lang w:val="en-US"/>
        </w:rPr>
        <w:t>10. PREREQUISITE</w:t>
      </w:r>
      <w:r>
        <w:rPr>
          <w:rStyle w:val="None B"/>
          <w:color w:val="2f5496"/>
          <w:u w:color="2f5496"/>
          <w:rtl w:val="0"/>
          <w:lang w:val="en-US"/>
        </w:rPr>
        <w:t>:</w:t>
      </w:r>
    </w:p>
    <w:p>
      <w:pPr>
        <w:pStyle w:val="Body A"/>
        <w:rPr>
          <w:rStyle w:val="None B"/>
          <w:color w:val="2f5496"/>
          <w:u w:color="2f5496"/>
          <w:lang w:val="en-US"/>
        </w:rPr>
      </w:pPr>
    </w:p>
    <w:p>
      <w:pPr>
        <w:pStyle w:val="Body A"/>
      </w:pPr>
      <w:r>
        <w:rPr>
          <w:rStyle w:val="None B"/>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72"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UPDATED</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4/13/15</w:t>
            </w:r>
          </w:p>
        </w:tc>
      </w:tr>
      <w:tr>
        <w:tblPrEx>
          <w:shd w:val="clear" w:color="auto" w:fill="d0ddef"/>
        </w:tblPrEx>
        <w:trPr>
          <w:trHeight w:val="370"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 xml:space="preserve">  </w:t>
            </w:r>
            <w:r>
              <w:rPr>
                <w:rStyle w:val="None B"/>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7th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4/20/15</w:t>
            </w:r>
          </w:p>
        </w:tc>
      </w:tr>
    </w:tbl>
    <w:p>
      <w:pPr>
        <w:pStyle w:val="Body B"/>
        <w:widowControl w:val="0"/>
        <w:ind w:left="540" w:hanging="540"/>
        <w:jc w:val="center"/>
        <w:rPr>
          <w:sz w:val="22"/>
          <w:szCs w:val="22"/>
          <w:lang w:val="en-US"/>
        </w:rPr>
      </w:pPr>
    </w:p>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13. COURSE OUTCOMES AND COMPETENCIES:</w:t>
      </w:r>
    </w:p>
    <w:p>
      <w:pPr>
        <w:pStyle w:val="Body A"/>
      </w:pPr>
    </w:p>
    <w:p>
      <w:pPr>
        <w:pStyle w:val="Body A"/>
        <w:numPr>
          <w:ilvl w:val="0"/>
          <w:numId w:val="2"/>
        </w:numPr>
        <w:suppressAutoHyphens w:val="1"/>
        <w:bidi w:val="0"/>
        <w:spacing w:after="0" w:line="240" w:lineRule="auto"/>
        <w:ind w:right="0"/>
        <w:jc w:val="both"/>
        <w:rPr>
          <w:rStyle w:val="None B"/>
          <w:rFonts w:ascii="Times New Roman" w:cs="Times New Roman" w:hAnsi="Times New Roman" w:eastAsia="Times New Roman"/>
          <w:sz w:val="22"/>
          <w:szCs w:val="22"/>
          <w:rtl w:val="0"/>
          <w:lang w:val="it-IT"/>
        </w:rPr>
      </w:pPr>
      <w:r>
        <w:rPr>
          <w:rStyle w:val="None B"/>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17. COURSE REQUIREMENTS and GRADING CRITERIA:</w:t>
      </w:r>
    </w:p>
    <w:p>
      <w:pPr>
        <w:pStyle w:val="Normal (Web)"/>
        <w:spacing w:before="0" w:after="0"/>
        <w:rPr>
          <w:rStyle w:val="None B"/>
          <w:rFonts w:ascii="Calibri" w:cs="Calibri" w:hAnsi="Calibri" w:eastAsia="Calibri"/>
          <w:sz w:val="22"/>
          <w:szCs w:val="22"/>
        </w:rPr>
      </w:pPr>
      <w:r>
        <w:rPr>
          <w:rStyle w:val="None B"/>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B"/>
          <w:b w:val="1"/>
          <w:bCs w:val="1"/>
          <w:rtl w:val="0"/>
          <w:lang w:val="en-US"/>
        </w:rPr>
        <w:t>17.1 Include Grade Appeal Statement:</w:t>
      </w:r>
      <w:r>
        <w:rPr>
          <w:rStyle w:val="None B"/>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SCHEDULE</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rPr>
      </w:pPr>
      <w:r>
        <w:rPr>
          <w:rStyle w:val="None B"/>
          <w:rFonts w:ascii="Helvetica Neue" w:hAnsi="Helvetica Neue"/>
          <w:u w:color="00000a"/>
          <w:rtl w:val="0"/>
          <w:lang w:val="en-US"/>
        </w:rPr>
        <w:t>Week              Requirement</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lang w:val="en-US"/>
        </w:rPr>
      </w:pPr>
    </w:p>
    <w:p>
      <w:pPr>
        <w:pStyle w:val="Body B"/>
        <w:ind w:left="360" w:firstLine="0"/>
        <w:rPr>
          <w:rStyle w:val="None B"/>
          <w:rFonts w:ascii="Helvetica Neue" w:cs="Helvetica Neue" w:hAnsi="Helvetica Neue" w:eastAsia="Helvetica Neue"/>
          <w:u w:color="00000a"/>
        </w:rPr>
      </w:pPr>
      <w:r>
        <w:rPr>
          <w:rStyle w:val="None B"/>
          <w:rFonts w:ascii="Courier New" w:hAnsi="Courier New"/>
          <w:color w:val="00000a"/>
          <w:u w:color="00000a"/>
          <w:rtl w:val="0"/>
          <w:lang w:val="en-US"/>
        </w:rPr>
        <w:t xml:space="preserve">1. </w:t>
        <w:tab/>
      </w:r>
      <w:r>
        <w:rPr>
          <w:rStyle w:val="None B"/>
          <w:rFonts w:ascii="Helvetica Neue" w:hAnsi="Helvetica Neue"/>
          <w:color w:val="00000a"/>
          <w:u w:color="00000a"/>
          <w:rtl w:val="0"/>
          <w:lang w:val="en-US"/>
        </w:rPr>
        <w:t>Post introductions on Discussion Board</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1 Introduction</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2 Trait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DMS-Chapter 1: Developing Self-Awareness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2. </w:t>
        <w:tab/>
        <w:tab/>
        <w:t>N-Chapter 3 Skills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N-Chapter 4 Behavioral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DMS- Chapter 4: Building Relationships</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3</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5: Situational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6: Path-Goal Theory</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DMS-Chapter 5: Gaining Power and Influence</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4</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 Chapter 6: Motivating Others</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5</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7: Contingency Theories and Adaptive</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Leadership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DMS- Chapter 8: Empowering and Engaging</w:t>
      </w:r>
    </w:p>
    <w:p>
      <w:pPr>
        <w:pStyle w:val="Body B"/>
        <w:ind w:left="709" w:firstLine="709"/>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Employees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6</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 Chapter 8: Leader-Member Exchange Theory</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 xml:space="preserve">DMS-Chapter 9: Building Effective Teams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and Teamwork</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7</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9: Authentic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10: Servant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8</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11: Adaptive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12: Psychodynamic Approach</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9</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13: Leadership Ethics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14: Team Leadership</w:t>
      </w:r>
    </w:p>
    <w:p>
      <w:pPr>
        <w:pStyle w:val="Body B"/>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10</w:t>
      </w:r>
      <w:r>
        <w:rPr>
          <w:rStyle w:val="None B"/>
          <w:rFonts w:ascii="Helvetica Neue" w:hAnsi="Helvetica Neue" w:hint="default"/>
          <w:color w:val="00000a"/>
          <w:u w:color="00000a"/>
          <w:rtl w:val="0"/>
          <w:lang w:val="en-US"/>
        </w:rPr>
        <w:t>                   </w:t>
      </w:r>
      <w:r>
        <w:rPr>
          <w:rStyle w:val="None B"/>
          <w:rFonts w:ascii="Helvetica Neue" w:hAnsi="Helvetica Neue"/>
          <w:color w:val="00000a"/>
          <w:u w:val="single" w:color="00000a"/>
          <w:rtl w:val="0"/>
          <w:lang w:val="en-US"/>
        </w:rPr>
        <w:t xml:space="preserve">Research Paper </w:t>
      </w:r>
      <w:r>
        <w:rPr>
          <w:rStyle w:val="None B"/>
          <w:rFonts w:ascii="Helvetica Neue" w:hAnsi="Helvetica Neue" w:hint="default"/>
          <w:color w:val="00000a"/>
          <w:u w:val="single" w:color="00000a"/>
          <w:rtl w:val="0"/>
          <w:lang w:val="en-US"/>
        </w:rPr>
        <w:t xml:space="preserve">– </w:t>
      </w:r>
      <w:r>
        <w:rPr>
          <w:rStyle w:val="None B"/>
          <w:rFonts w:ascii="Helvetica Neue" w:hAnsi="Helvetica Neue"/>
          <w:color w:val="00000a"/>
          <w:u w:val="single" w:color="00000a"/>
          <w:rtl w:val="0"/>
          <w:lang w:val="en-US"/>
        </w:rPr>
        <w:t>Due by Sunday of Week 10</w:t>
      </w:r>
    </w:p>
    <w:p>
      <w:pPr>
        <w:pStyle w:val="Body B"/>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15: Gender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16: Culture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DMS-Chapter 10: Leading Positive Change</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hint="default"/>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11</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val="single" w:color="00000a"/>
          <w:rtl w:val="0"/>
          <w:lang w:val="en-US"/>
        </w:rPr>
        <w:t>Final Examination</w:t>
      </w:r>
      <w:r>
        <w:rPr>
          <w:rStyle w:val="None B"/>
          <w:rFonts w:ascii="Helvetica Neue" w:hAnsi="Helvetica Neue" w:hint="default"/>
          <w:color w:val="00000a"/>
          <w:u w:val="single" w:color="00000a"/>
          <w:rtl w:val="0"/>
          <w:lang w:val="en-US"/>
        </w:rPr>
        <w:t> </w:t>
      </w:r>
      <w:r>
        <w:rPr>
          <w:rStyle w:val="None B"/>
          <w:rFonts w:ascii="Helvetica Neue" w:hAnsi="Helvetica Neue"/>
          <w:color w:val="00000a"/>
          <w:u w:val="single" w:color="00000a"/>
          <w:rtl w:val="0"/>
          <w:lang w:val="en-US"/>
        </w:rPr>
        <w:t>- Due by Friday of Week 11</w:t>
      </w:r>
    </w:p>
    <w:p>
      <w:pPr>
        <w:pStyle w:val="Body B"/>
        <w:rPr>
          <w:rStyle w:val="None B"/>
          <w:rFonts w:ascii="Helvetica Neue" w:cs="Helvetica Neue" w:hAnsi="Helvetica Neue" w:eastAsia="Helvetica Neue"/>
          <w:sz w:val="26"/>
          <w:szCs w:val="26"/>
          <w:u w:color="00000a"/>
          <w:lang w:val="en-US"/>
        </w:rPr>
      </w:pPr>
    </w:p>
    <w:p>
      <w:pPr>
        <w:pStyle w:val="Body B"/>
        <w:rPr>
          <w:rStyle w:val="None B"/>
          <w:spacing w:val="-3"/>
          <w:sz w:val="22"/>
          <w:szCs w:val="22"/>
          <w:lang w:val="en-US"/>
        </w:rPr>
      </w:pPr>
    </w:p>
    <w:p>
      <w:pPr>
        <w:pStyle w:val="Body B"/>
        <w:rPr>
          <w:rStyle w:val="None B"/>
          <w:spacing w:val="-3"/>
          <w:sz w:val="22"/>
          <w:szCs w:val="22"/>
          <w:lang w:val="en-US"/>
        </w:rPr>
      </w:pPr>
    </w:p>
    <w:p>
      <w:pPr>
        <w:pStyle w:val="Heading"/>
      </w:pPr>
      <w:r>
        <w:rPr>
          <w:rStyle w:val="None A"/>
          <w:rtl w:val="0"/>
          <w:lang w:val="en-US"/>
        </w:rPr>
        <w:t>19.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B">
    <w:name w:val="None B"/>
    <w:rPr>
      <w:lang w:val="en-US"/>
    </w:rPr>
  </w:style>
  <w:style w:type="character" w:styleId="None A">
    <w:name w:val="None A"/>
    <w:basedOn w:val="None B"/>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None B"/>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