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VC88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2,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AMUW2mWZ5eExamqVj9hMlxu1sUJ8mwW+cVbxzhpKkWKx2C/q9pfA75ytIWjoVJMz95MenrbanKufsczdMzRkbCmxWimNML3hry63PMfJGNLywzYZfjEXb4DluqKJqZBMlZF1YYq/c0z+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