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B6539E">
        <w:t xml:space="preserve">MGMT 4313 </w:t>
      </w:r>
      <w:permStart w:id="1087570761" w:edGrp="everyone"/>
      <w:r w:rsidR="007E50FD">
        <w:t>VC01</w:t>
      </w:r>
      <w:permEnd w:id="1087570761"/>
      <w:r w:rsidR="00A24A3B">
        <w:t xml:space="preserve"> – </w:t>
      </w:r>
      <w:r w:rsidR="00B6539E">
        <w:t>Structure and Process of Organization</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47341093" w:edGrp="everyone"/>
      <w:r w:rsidR="006B3B3E">
        <w:t xml:space="preserve"> </w:t>
      </w:r>
      <w:r w:rsidR="004227A2">
        <w:t>WBUonline</w:t>
      </w:r>
      <w:r w:rsidR="006B3B3E">
        <w:t xml:space="preserve"> </w:t>
      </w:r>
      <w:permEnd w:id="194734109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141402678" w:edGrp="everyone"/>
      <w:r w:rsidR="007E50FD">
        <w:t>Spring 2 2024</w:t>
      </w:r>
      <w:permEnd w:id="214140267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834570786" w:edGrp="everyone"/>
      <w:r w:rsidR="007E50FD">
        <w:t>Kelly Warren,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E50FD" w:rsidRPr="00A01923">
        <w:t>(806) 291-1022</w:t>
      </w:r>
    </w:p>
    <w:permEnd w:id="18345707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90281712" w:edGrp="everyone"/>
      <w:r w:rsidR="007E50FD">
        <w:t xml:space="preserve"> </w:t>
      </w:r>
      <w:hyperlink r:id="rId8" w:history="1">
        <w:r w:rsidR="007E50FD" w:rsidRPr="006F7EA7">
          <w:rPr>
            <w:rStyle w:val="Hyperlink"/>
          </w:rPr>
          <w:t>warrenk@wbu.edu</w:t>
        </w:r>
      </w:hyperlink>
      <w:r w:rsidR="007E50FD">
        <w:rPr>
          <w:rStyle w:val="Hyperlink"/>
        </w:rPr>
        <w:t xml:space="preserve"> </w:t>
      </w:r>
      <w:permEnd w:id="1190281712"/>
    </w:p>
    <w:p w:rsidR="00E8301B" w:rsidRPr="00E624B9" w:rsidRDefault="00E8301B" w:rsidP="00FF6259">
      <w:pPr>
        <w:pStyle w:val="SyllabiBasic"/>
        <w:spacing w:after="0" w:line="360" w:lineRule="auto"/>
        <w:rPr>
          <w:b/>
          <w:vanish/>
          <w:specVanish/>
        </w:rPr>
      </w:pPr>
      <w:r w:rsidRPr="00E624B9">
        <w:rPr>
          <w:b/>
        </w:rPr>
        <w:t>Office Hours, Building, and Location</w:t>
      </w:r>
    </w:p>
    <w:p w:rsidR="00893C4C" w:rsidRDefault="00E8301B" w:rsidP="00FF6259">
      <w:pPr>
        <w:pStyle w:val="SyllabiBasic"/>
        <w:spacing w:after="0" w:line="360" w:lineRule="auto"/>
        <w:rPr>
          <w:b/>
        </w:rPr>
      </w:pPr>
      <w:r w:rsidRPr="00E624B9">
        <w:rPr>
          <w:b/>
        </w:rPr>
        <w:t>:</w:t>
      </w:r>
      <w:r w:rsidR="00D4306D">
        <w:rPr>
          <w:b/>
        </w:rPr>
        <w:t xml:space="preserve"> </w:t>
      </w:r>
      <w:permStart w:id="1362387632" w:edGrp="everyone"/>
      <w:r w:rsidR="00893C4C" w:rsidRPr="005F0A96">
        <w:t>Nunn Business Building, Plainview Campus</w:t>
      </w:r>
      <w:r w:rsidR="00893C4C" w:rsidRPr="00E624B9">
        <w:rPr>
          <w:b/>
        </w:rPr>
        <w:t xml:space="preserve"> </w:t>
      </w:r>
    </w:p>
    <w:permEnd w:id="136238763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85410203" w:edGrp="everyone"/>
      <w:r w:rsidR="00893C4C" w:rsidRPr="00893C4C">
        <w:rPr>
          <w:b/>
        </w:rPr>
        <w:t xml:space="preserve"> </w:t>
      </w:r>
      <w:r w:rsidR="00893C4C">
        <w:rPr>
          <w:b/>
        </w:rPr>
        <w:t>ONLINE</w:t>
      </w:r>
      <w:r w:rsidR="00893C4C" w:rsidRPr="00D4306D">
        <w:t xml:space="preserve"> </w:t>
      </w:r>
      <w:r w:rsidR="00893C4C">
        <w:t xml:space="preserve"> </w:t>
      </w:r>
      <w:permEnd w:id="28541020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4"/>
        <w:gridCol w:w="1574"/>
        <w:gridCol w:w="587"/>
        <w:gridCol w:w="784"/>
        <w:gridCol w:w="1488"/>
        <w:gridCol w:w="2367"/>
      </w:tblGrid>
      <w:tr w:rsidR="00BF10F5" w:rsidRPr="00422E0C" w:rsidTr="00BF10F5">
        <w:trPr>
          <w:trHeight w:val="259"/>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PUBLISHER</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ISBN#</w:t>
            </w:r>
          </w:p>
        </w:tc>
      </w:tr>
      <w:tr w:rsidR="00BF10F5" w:rsidRPr="00E14E85" w:rsidTr="00BF10F5">
        <w:trPr>
          <w:trHeight w:val="490"/>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rPr>
                <w:rFonts w:cstheme="minorHAnsi"/>
              </w:rPr>
            </w:pPr>
            <w:r w:rsidRPr="00831592">
              <w:rPr>
                <w:rFonts w:cstheme="minorHAnsi"/>
                <w:u w:val="single"/>
              </w:rPr>
              <w:t>Organization, Theory and Design</w:t>
            </w:r>
            <w:r w:rsidRPr="00831592">
              <w:rPr>
                <w:rFonts w:cstheme="minorHAnsi"/>
              </w:rPr>
              <w:t xml:space="preserve"> </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Daft</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13th</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2021</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Cengage</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9780-35770-2390</w:t>
            </w:r>
          </w:p>
        </w:tc>
      </w:tr>
    </w:tbl>
    <w:p w:rsidR="003D2402" w:rsidRPr="003D2402" w:rsidRDefault="003D2402" w:rsidP="000C2431">
      <w:pPr>
        <w:spacing w:after="200"/>
        <w:rPr>
          <w:rFonts w:ascii="Calibri" w:eastAsia="Times New Roman" w:hAnsi="Calibri" w:cs="Times New Roman"/>
          <w:b/>
          <w:color w:val="C00000"/>
          <w:sz w:val="24"/>
          <w:szCs w:val="24"/>
        </w:rPr>
      </w:pPr>
    </w:p>
    <w:p w:rsidR="00C94635" w:rsidRPr="00317E55" w:rsidRDefault="00C94635" w:rsidP="00C94635">
      <w:pPr>
        <w:spacing w:after="200"/>
        <w:rPr>
          <w:i/>
          <w:iCs/>
          <w:sz w:val="20"/>
          <w:szCs w:val="20"/>
        </w:rPr>
      </w:pPr>
      <w:bookmarkStart w:id="1"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1"/>
    <w:p w:rsidR="00E624B9" w:rsidRPr="00E624B9" w:rsidRDefault="00E624B9" w:rsidP="000C2431">
      <w:pPr>
        <w:spacing w:after="200"/>
        <w:rPr>
          <w:rFonts w:ascii="Calibri" w:hAnsi="Calibri" w:cs="Times New Roman"/>
        </w:rPr>
      </w:pPr>
    </w:p>
    <w:p w:rsidR="00E624B9" w:rsidRPr="00E624B9" w:rsidRDefault="00E624B9" w:rsidP="000C2431">
      <w:pPr>
        <w:pStyle w:val="SyllabiBasic"/>
        <w:rPr>
          <w:b/>
          <w:vanish/>
          <w:specVanish/>
        </w:rPr>
      </w:pPr>
      <w:permStart w:id="178817363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788173630"/>
    <w:p w:rsidR="00C94635" w:rsidRDefault="00C94635" w:rsidP="000C2431">
      <w:pPr>
        <w:pStyle w:val="SyllabiHeading"/>
        <w:rPr>
          <w:b/>
        </w:rPr>
      </w:pPr>
    </w:p>
    <w:p w:rsidR="00C94635" w:rsidRDefault="00C94635" w:rsidP="000C2431">
      <w:pPr>
        <w:pStyle w:val="SyllabiHeading"/>
        <w:rPr>
          <w:b/>
        </w:rPr>
      </w:pPr>
    </w:p>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BF0618" w:rsidRDefault="00B6539E" w:rsidP="00216C9F">
      <w:pPr>
        <w:autoSpaceDE w:val="0"/>
        <w:autoSpaceDN w:val="0"/>
        <w:adjustRightInd w:val="0"/>
        <w:spacing w:after="0"/>
        <w:rPr>
          <w:rFonts w:cstheme="minorHAnsi"/>
          <w:color w:val="000000"/>
        </w:rPr>
      </w:pPr>
      <w:r w:rsidRPr="00AA60CC">
        <w:rPr>
          <w:rFonts w:cstheme="minorHAnsi"/>
          <w:spacing w:val="-3"/>
        </w:rPr>
        <w:t>S</w:t>
      </w:r>
      <w:r w:rsidRPr="00AA60CC">
        <w:rPr>
          <w:rFonts w:cstheme="minorHAnsi"/>
          <w:color w:val="000000"/>
        </w:rPr>
        <w:t>ystems approach to organizations emphasizing organizational design, effectiveness, change, and development</w:t>
      </w:r>
      <w:r>
        <w:rPr>
          <w:rFonts w:cstheme="minorHAnsi"/>
          <w:color w:val="000000"/>
        </w:rPr>
        <w:t>.</w:t>
      </w:r>
    </w:p>
    <w:p w:rsidR="00B6539E" w:rsidRDefault="00B6539E" w:rsidP="00216C9F">
      <w:pPr>
        <w:autoSpaceDE w:val="0"/>
        <w:autoSpaceDN w:val="0"/>
        <w:adjustRightInd w:val="0"/>
        <w:spacing w:after="0"/>
        <w:rPr>
          <w:rFonts w:eastAsia="Times New Roman" w:cstheme="minorHAnsi"/>
          <w:spacing w:val="-3"/>
        </w:rPr>
      </w:pPr>
    </w:p>
    <w:p w:rsidR="00093737" w:rsidRPr="00831592" w:rsidRDefault="00BF0618" w:rsidP="00831592">
      <w:pPr>
        <w:pStyle w:val="SyllabiBasic"/>
      </w:pPr>
      <w:r w:rsidRPr="00BF0618">
        <w:rPr>
          <w:b/>
        </w:rPr>
        <w:t>Prerequisite:</w:t>
      </w:r>
      <w:r w:rsidR="00B6539E">
        <w:rPr>
          <w:b/>
        </w:rPr>
        <w:br/>
      </w:r>
      <w:r w:rsidR="00B6539E">
        <w:t>MGMT 3304</w:t>
      </w:r>
      <w:r w:rsidR="00831592">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Explain the components of organizational environments.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Discuss the criteria used in choosing an appropriate organizational intervention strategy.</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Describe the systems approach to the study of organizations.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Critique an organization’s current structure and problems.</w:t>
      </w:r>
    </w:p>
    <w:p w:rsidR="007D5A2A" w:rsidRDefault="007D5A2A" w:rsidP="000C2431">
      <w:pPr>
        <w:pStyle w:val="SyllabiHeading"/>
        <w:rPr>
          <w:b/>
        </w:rPr>
      </w:pPr>
      <w:r w:rsidRPr="007D5A2A">
        <w:rPr>
          <w:b/>
        </w:rPr>
        <w:t>Attendance Requirements</w:t>
      </w:r>
    </w:p>
    <w:p w:rsidR="0029114E" w:rsidRPr="005800EF" w:rsidRDefault="005800EF" w:rsidP="000C2431">
      <w:permStart w:id="798759765" w:edGrp="everyone"/>
      <w:r>
        <w:rPr>
          <w:b/>
        </w:rPr>
        <w:t xml:space="preserve"> </w:t>
      </w:r>
      <w:proofErr w:type="spellStart"/>
      <w:r w:rsidR="007D5A2A" w:rsidRPr="007D5A2A">
        <w:rPr>
          <w:u w:val="single"/>
        </w:rPr>
        <w:t>WBUonline</w:t>
      </w:r>
      <w:proofErr w:type="spellEnd"/>
      <w:r w:rsidR="007D5A2A"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5800EF">
        <w:t xml:space="preserve"> </w:t>
      </w:r>
      <w:permEnd w:id="798759765"/>
    </w:p>
    <w:p w:rsidR="00182992" w:rsidRDefault="007D5A2A" w:rsidP="000C2431">
      <w:pPr>
        <w:pStyle w:val="SyllabiHeading"/>
        <w:rPr>
          <w:b/>
        </w:rPr>
      </w:pPr>
      <w:r w:rsidRPr="007D5A2A">
        <w:rPr>
          <w:b/>
        </w:rPr>
        <w:t>University Policies</w:t>
      </w:r>
    </w:p>
    <w:p w:rsidR="00C94635" w:rsidRPr="0039378D" w:rsidRDefault="00C94635" w:rsidP="00C94635">
      <w:pPr>
        <w:spacing w:line="960" w:lineRule="auto"/>
        <w:outlineLvl w:val="1"/>
        <w:rPr>
          <w:b/>
          <w:vanish/>
        </w:rPr>
      </w:pPr>
      <w:bookmarkStart w:id="2" w:name="_Hlk141178515"/>
      <w:bookmarkStart w:id="3" w:name="_Hlk141176664"/>
      <w:r>
        <w:rPr>
          <w:b/>
        </w:rPr>
        <w:t>Academic Integrity</w:t>
      </w:r>
    </w:p>
    <w:p w:rsidR="00C94635" w:rsidRDefault="00C94635" w:rsidP="00C94635">
      <w:pPr>
        <w:spacing w:after="200"/>
      </w:pPr>
      <w:r w:rsidRPr="0039378D">
        <w:rPr>
          <w:b/>
        </w:rPr>
        <w:t>:</w:t>
      </w:r>
    </w:p>
    <w:p w:rsidR="00C94635" w:rsidRDefault="00622FDB" w:rsidP="00C94635">
      <w:pPr>
        <w:spacing w:after="200"/>
      </w:pPr>
      <w:hyperlink r:id="rId9" w:history="1">
        <w:r w:rsidR="00C94635">
          <w:rPr>
            <w:rStyle w:val="Hyperlink"/>
            <w:spacing w:val="-2"/>
          </w:rPr>
          <w:t xml:space="preserve">Link to Statement on Academic Integrity </w:t>
        </w:r>
      </w:hyperlink>
      <w:bookmarkEnd w:id="2"/>
    </w:p>
    <w:bookmarkEnd w:id="3"/>
    <w:p w:rsidR="004066A3" w:rsidRPr="0039378D" w:rsidRDefault="004066A3" w:rsidP="004066A3">
      <w:pPr>
        <w:spacing w:after="0"/>
      </w:pPr>
    </w:p>
    <w:p w:rsidR="00C94635" w:rsidRDefault="00C94635" w:rsidP="00C94635">
      <w:pPr>
        <w:rPr>
          <w:rFonts w:ascii="Times New Roman" w:hAnsi="Times New Roman" w:cs="Times New Roman"/>
        </w:rPr>
      </w:pPr>
      <w:bookmarkStart w:id="4"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educational program or activity in the university. The Disability Services Coordinator and Academic Coach serves as </w:t>
      </w:r>
      <w:r>
        <w:lastRenderedPageBreak/>
        <w:t>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4"/>
    <w:p w:rsidR="004066A3" w:rsidRPr="0039378D" w:rsidRDefault="004066A3" w:rsidP="004066A3">
      <w:pPr>
        <w:spacing w:after="0"/>
        <w:rPr>
          <w:rFonts w:ascii="Calibri" w:hAnsi="Calibri"/>
        </w:rPr>
      </w:pPr>
      <w:r w:rsidRPr="0039378D">
        <w:rPr>
          <w:rFonts w:ascii="Calibri" w:hAnsi="Calibri"/>
        </w:rPr>
        <w:t xml:space="preserve"> </w:t>
      </w:r>
    </w:p>
    <w:p w:rsidR="00980DD7" w:rsidRDefault="00980DD7" w:rsidP="00980DD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980DD7" w:rsidRDefault="00980DD7" w:rsidP="00980DD7">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A0DA6" w:rsidRDefault="005042F5" w:rsidP="005A0DA6">
      <w:permStart w:id="697249932" w:edGrp="everyone"/>
      <w:r w:rsidRPr="005042F5">
        <w:t>&lt;&lt;</w:t>
      </w:r>
      <w:r w:rsidR="005A0DA6" w:rsidRPr="00B246D5">
        <w:t xml:space="preserve"> </w:t>
      </w:r>
      <w:r w:rsidR="005A0DA6" w:rsidRPr="00B246D5">
        <w:rPr>
          <w:b/>
        </w:rPr>
        <w:t>Dialog 1-4</w:t>
      </w:r>
      <w:r w:rsidR="005A0DA6">
        <w:t xml:space="preserve">:  Each Dialog worth </w:t>
      </w:r>
      <w:r w:rsidR="005A0DA6" w:rsidRPr="00B246D5">
        <w:rPr>
          <w:b/>
        </w:rPr>
        <w:t>10%</w:t>
      </w:r>
      <w:r w:rsidR="005A0DA6">
        <w:t xml:space="preserve"> of the final grade</w:t>
      </w:r>
    </w:p>
    <w:p w:rsidR="005A0DA6" w:rsidRDefault="005A0DA6" w:rsidP="005A0DA6">
      <w:r w:rsidRPr="00B246D5">
        <w:rPr>
          <w:b/>
        </w:rPr>
        <w:t>Case 1-2</w:t>
      </w:r>
      <w:r>
        <w:t xml:space="preserve">: Each case worth </w:t>
      </w:r>
      <w:r w:rsidRPr="00B246D5">
        <w:rPr>
          <w:b/>
        </w:rPr>
        <w:t>10</w:t>
      </w:r>
      <w:r>
        <w:t>% of the final grade</w:t>
      </w:r>
    </w:p>
    <w:p w:rsidR="005A0DA6" w:rsidRDefault="005A0DA6" w:rsidP="005A0DA6">
      <w:r w:rsidRPr="00B246D5">
        <w:rPr>
          <w:b/>
        </w:rPr>
        <w:t>Research Paper</w:t>
      </w:r>
      <w:r>
        <w:t xml:space="preserve">: Worth </w:t>
      </w:r>
      <w:r w:rsidRPr="00B246D5">
        <w:rPr>
          <w:b/>
        </w:rPr>
        <w:t>25%</w:t>
      </w:r>
      <w:r>
        <w:t xml:space="preserve"> of the final grade</w:t>
      </w:r>
    </w:p>
    <w:p w:rsidR="005A0DA6" w:rsidRDefault="005A0DA6" w:rsidP="005A0DA6">
      <w:r w:rsidRPr="00B246D5">
        <w:rPr>
          <w:b/>
        </w:rPr>
        <w:t>Final Exam</w:t>
      </w:r>
      <w:r>
        <w:t xml:space="preserve">: Worth </w:t>
      </w:r>
      <w:r w:rsidRPr="00B246D5">
        <w:rPr>
          <w:b/>
        </w:rPr>
        <w:t>15%</w:t>
      </w:r>
      <w:r>
        <w:t xml:space="preserve"> of the final grade</w:t>
      </w:r>
    </w:p>
    <w:p w:rsidR="005A0DA6" w:rsidRDefault="005A0DA6" w:rsidP="005A0DA6">
      <w:pPr>
        <w:pStyle w:val="NormalWeb"/>
        <w:rPr>
          <w:rFonts w:ascii="Calibri" w:hAnsi="Calibri"/>
          <w:b/>
        </w:rPr>
      </w:pPr>
      <w:r>
        <w:rPr>
          <w:rFonts w:ascii="Calibri" w:hAnsi="Calibri"/>
          <w:b/>
        </w:rPr>
        <w:t>LATE WORK: Must be approved by the professor for partial credit.</w:t>
      </w:r>
    </w:p>
    <w:permEnd w:id="697249932"/>
    <w:p w:rsidR="00C94635" w:rsidRDefault="00C94635"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831592" w:rsidRDefault="002E75B9" w:rsidP="0083159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C4BB4" w:rsidRDefault="00DC4BB4" w:rsidP="000C2431">
      <w:permStart w:id="376446357" w:edGrp="everyone"/>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DC4BB4" w:rsidRPr="00625468" w:rsidTr="002F4547">
        <w:tc>
          <w:tcPr>
            <w:tcW w:w="234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Assignment</w:t>
            </w:r>
          </w:p>
        </w:tc>
      </w:tr>
      <w:tr w:rsidR="00DC4BB4" w:rsidRPr="00625468" w:rsidTr="002F4547">
        <w:trPr>
          <w:trHeight w:val="925"/>
        </w:trPr>
        <w:tc>
          <w:tcPr>
            <w:tcW w:w="2340" w:type="dxa"/>
            <w:tcBorders>
              <w:top w:val="single" w:sz="4" w:space="0" w:color="auto"/>
              <w:left w:val="single" w:sz="4" w:space="0" w:color="auto"/>
              <w:right w:val="single" w:sz="4" w:space="0" w:color="auto"/>
            </w:tcBorders>
            <w:shd w:val="clear" w:color="auto" w:fill="auto"/>
          </w:tcPr>
          <w:p w:rsidR="00DC4BB4" w:rsidRPr="00625468" w:rsidRDefault="00DC4BB4" w:rsidP="002F4547">
            <w:pPr>
              <w:rPr>
                <w:b/>
              </w:rPr>
            </w:pPr>
            <w:r>
              <w:rPr>
                <w:b/>
              </w:rPr>
              <w:t xml:space="preserve">1: </w:t>
            </w:r>
            <w:r>
              <w:t>March 25-31</w:t>
            </w:r>
          </w:p>
          <w:p w:rsidR="00DC4BB4" w:rsidRPr="00625468" w:rsidRDefault="00DC4BB4" w:rsidP="002F4547">
            <w:pPr>
              <w:rPr>
                <w:b/>
              </w:rPr>
            </w:pP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Dialog 1: </w:t>
            </w: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Intro, </w:t>
            </w:r>
            <w:proofErr w:type="spellStart"/>
            <w:r w:rsidRPr="00625468">
              <w:rPr>
                <w:b/>
                <w:color w:val="auto"/>
                <w:sz w:val="22"/>
                <w:szCs w:val="22"/>
              </w:rPr>
              <w:t>Ch</w:t>
            </w:r>
            <w:proofErr w:type="spellEnd"/>
            <w:r w:rsidRPr="00625468">
              <w:rPr>
                <w:b/>
                <w:color w:val="auto"/>
                <w:sz w:val="22"/>
                <w:szCs w:val="22"/>
              </w:rPr>
              <w:t xml:space="preserve"> 1: Daft Text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Dialog 1 and</w:t>
            </w:r>
          </w:p>
          <w:p w:rsidR="00DC4BB4" w:rsidRPr="00625468" w:rsidRDefault="00DC4BB4" w:rsidP="002F4547">
            <w:pPr>
              <w:rPr>
                <w:b/>
              </w:rPr>
            </w:pPr>
            <w:r w:rsidRPr="00625468">
              <w:rPr>
                <w:b/>
              </w:rPr>
              <w:t>Introductions</w:t>
            </w:r>
          </w:p>
        </w:tc>
      </w:tr>
      <w:tr w:rsidR="00DC4BB4" w:rsidRPr="00625468" w:rsidTr="002F4547">
        <w:trPr>
          <w:trHeight w:val="1007"/>
        </w:trPr>
        <w:tc>
          <w:tcPr>
            <w:tcW w:w="2340" w:type="dxa"/>
            <w:tcBorders>
              <w:top w:val="single" w:sz="4" w:space="0" w:color="auto"/>
              <w:left w:val="single" w:sz="4" w:space="0" w:color="auto"/>
              <w:right w:val="single" w:sz="4" w:space="0" w:color="auto"/>
            </w:tcBorders>
            <w:shd w:val="clear" w:color="auto" w:fill="auto"/>
          </w:tcPr>
          <w:p w:rsidR="00DC4BB4" w:rsidRPr="00FF2D62" w:rsidRDefault="00DC4BB4" w:rsidP="002F4547">
            <w:r>
              <w:rPr>
                <w:b/>
              </w:rPr>
              <w:lastRenderedPageBreak/>
              <w:t xml:space="preserve">2: </w:t>
            </w:r>
            <w:r>
              <w:t xml:space="preserve">March 31 – April 7 </w:t>
            </w:r>
          </w:p>
          <w:p w:rsidR="00DC4BB4" w:rsidRPr="00625468" w:rsidRDefault="00DC4BB4" w:rsidP="002F4547">
            <w:pPr>
              <w:rPr>
                <w:b/>
              </w:rPr>
            </w:pP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Dialog 2: </w:t>
            </w: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Chapters 2-3: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Dialog 2</w:t>
            </w:r>
          </w:p>
        </w:tc>
      </w:tr>
      <w:tr w:rsidR="00DC4BB4" w:rsidRPr="00625468" w:rsidTr="002F4547">
        <w:trPr>
          <w:trHeight w:val="895"/>
        </w:trPr>
        <w:tc>
          <w:tcPr>
            <w:tcW w:w="2340" w:type="dxa"/>
            <w:tcBorders>
              <w:top w:val="single" w:sz="4" w:space="0" w:color="auto"/>
              <w:left w:val="single" w:sz="4" w:space="0" w:color="auto"/>
              <w:right w:val="single" w:sz="4" w:space="0" w:color="auto"/>
            </w:tcBorders>
            <w:shd w:val="clear" w:color="auto" w:fill="auto"/>
          </w:tcPr>
          <w:p w:rsidR="00DC4BB4" w:rsidRPr="00625468" w:rsidRDefault="00DC4BB4" w:rsidP="002F4547">
            <w:pPr>
              <w:rPr>
                <w:b/>
              </w:rPr>
            </w:pPr>
            <w:r>
              <w:rPr>
                <w:b/>
              </w:rPr>
              <w:t xml:space="preserve">3: </w:t>
            </w:r>
            <w:r>
              <w:t>April 7-14</w:t>
            </w:r>
          </w:p>
          <w:p w:rsidR="00DC4BB4" w:rsidRPr="00625468" w:rsidRDefault="00DC4BB4" w:rsidP="002F4547">
            <w:pPr>
              <w:rPr>
                <w:b/>
              </w:rPr>
            </w:pP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Chapters 4-5: Daft and 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Case 1</w:t>
            </w:r>
          </w:p>
          <w:p w:rsidR="00DC4BB4" w:rsidRPr="00625468" w:rsidRDefault="00DC4BB4" w:rsidP="002F4547">
            <w:pPr>
              <w:pStyle w:val="Heading1"/>
              <w:rPr>
                <w:b/>
                <w:color w:val="auto"/>
                <w:sz w:val="22"/>
                <w:szCs w:val="22"/>
              </w:rPr>
            </w:pPr>
          </w:p>
        </w:tc>
      </w:tr>
      <w:tr w:rsidR="00DC4BB4" w:rsidRPr="00625468" w:rsidTr="002F4547">
        <w:trPr>
          <w:trHeight w:val="894"/>
        </w:trPr>
        <w:tc>
          <w:tcPr>
            <w:tcW w:w="2340" w:type="dxa"/>
            <w:tcBorders>
              <w:top w:val="single" w:sz="4" w:space="0" w:color="auto"/>
              <w:left w:val="single" w:sz="4" w:space="0" w:color="auto"/>
              <w:right w:val="single" w:sz="4" w:space="0" w:color="auto"/>
            </w:tcBorders>
            <w:shd w:val="clear" w:color="auto" w:fill="auto"/>
          </w:tcPr>
          <w:p w:rsidR="00DC4BB4" w:rsidRPr="00625468" w:rsidRDefault="00DC4BB4" w:rsidP="002F4547">
            <w:pPr>
              <w:rPr>
                <w:b/>
              </w:rPr>
            </w:pPr>
            <w:r>
              <w:rPr>
                <w:b/>
              </w:rPr>
              <w:t xml:space="preserve">4: </w:t>
            </w:r>
            <w:r>
              <w:t>April 14-21</w:t>
            </w: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Dialog 3: </w:t>
            </w: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Chapters 6-7: Daft and Outside Research using WBU Library’s database</w:t>
            </w:r>
          </w:p>
        </w:tc>
        <w:tc>
          <w:tcPr>
            <w:tcW w:w="2520" w:type="dxa"/>
            <w:tcBorders>
              <w:top w:val="single" w:sz="4" w:space="0" w:color="auto"/>
              <w:left w:val="single" w:sz="4" w:space="0" w:color="auto"/>
              <w:right w:val="single" w:sz="4" w:space="0" w:color="auto"/>
            </w:tcBorders>
            <w:shd w:val="clear" w:color="auto" w:fill="FFFFFF"/>
          </w:tcPr>
          <w:p w:rsidR="00DC4BB4" w:rsidRPr="00625468" w:rsidRDefault="00DC4BB4" w:rsidP="002F4547">
            <w:pPr>
              <w:pStyle w:val="Heading1"/>
              <w:rPr>
                <w:b/>
                <w:color w:val="auto"/>
                <w:sz w:val="22"/>
                <w:szCs w:val="22"/>
              </w:rPr>
            </w:pPr>
            <w:r w:rsidRPr="00625468">
              <w:rPr>
                <w:b/>
                <w:color w:val="auto"/>
                <w:sz w:val="22"/>
                <w:szCs w:val="22"/>
              </w:rPr>
              <w:t>Dialog 3</w:t>
            </w:r>
          </w:p>
        </w:tc>
      </w:tr>
      <w:tr w:rsidR="00DC4BB4" w:rsidRPr="00625468" w:rsidTr="002F4547">
        <w:trPr>
          <w:trHeight w:val="903"/>
        </w:trPr>
        <w:tc>
          <w:tcPr>
            <w:tcW w:w="2340" w:type="dxa"/>
            <w:tcBorders>
              <w:top w:val="single" w:sz="4" w:space="0" w:color="auto"/>
              <w:left w:val="single" w:sz="4" w:space="0" w:color="auto"/>
              <w:right w:val="single" w:sz="4" w:space="0" w:color="auto"/>
            </w:tcBorders>
            <w:shd w:val="clear" w:color="auto" w:fill="auto"/>
          </w:tcPr>
          <w:p w:rsidR="00DC4BB4" w:rsidRPr="00625468" w:rsidRDefault="00DC4BB4" w:rsidP="002F4547">
            <w:pPr>
              <w:rPr>
                <w:b/>
              </w:rPr>
            </w:pPr>
            <w:r>
              <w:rPr>
                <w:b/>
              </w:rPr>
              <w:t xml:space="preserve">5: </w:t>
            </w:r>
            <w:r>
              <w:t>April 21-28</w:t>
            </w: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Chapters 8-10: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Case 2</w:t>
            </w:r>
          </w:p>
        </w:tc>
      </w:tr>
      <w:tr w:rsidR="00DC4BB4" w:rsidRPr="00625468" w:rsidTr="002F4547">
        <w:trPr>
          <w:trHeight w:val="910"/>
        </w:trPr>
        <w:tc>
          <w:tcPr>
            <w:tcW w:w="2340" w:type="dxa"/>
            <w:tcBorders>
              <w:top w:val="single" w:sz="4" w:space="0" w:color="auto"/>
              <w:left w:val="single" w:sz="4" w:space="0" w:color="auto"/>
              <w:right w:val="single" w:sz="4" w:space="0" w:color="auto"/>
            </w:tcBorders>
            <w:shd w:val="clear" w:color="auto" w:fill="FFFFFF"/>
          </w:tcPr>
          <w:p w:rsidR="00DC4BB4" w:rsidRPr="00625468" w:rsidRDefault="00DC4BB4" w:rsidP="002F4547">
            <w:pPr>
              <w:rPr>
                <w:b/>
              </w:rPr>
            </w:pPr>
            <w:r>
              <w:rPr>
                <w:b/>
              </w:rPr>
              <w:t xml:space="preserve">6: </w:t>
            </w:r>
            <w:r>
              <w:t>April 28 – May 5</w:t>
            </w: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Dialog 4: </w:t>
            </w:r>
          </w:p>
          <w:p w:rsidR="00DC4BB4" w:rsidRPr="00625468" w:rsidRDefault="00DC4BB4" w:rsidP="002F454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Chapters 11-12: Daft and Outside Research using WBU Library’s database </w:t>
            </w:r>
          </w:p>
        </w:tc>
        <w:tc>
          <w:tcPr>
            <w:tcW w:w="2520" w:type="dxa"/>
            <w:tcBorders>
              <w:top w:val="single" w:sz="4" w:space="0" w:color="auto"/>
              <w:left w:val="single" w:sz="4" w:space="0" w:color="auto"/>
              <w:right w:val="single" w:sz="4" w:space="0" w:color="auto"/>
            </w:tcBorders>
            <w:shd w:val="clear" w:color="auto" w:fill="FFFFFF"/>
          </w:tcPr>
          <w:p w:rsidR="00DC4BB4" w:rsidRPr="00625468" w:rsidRDefault="00DC4BB4" w:rsidP="002F4547">
            <w:pPr>
              <w:pStyle w:val="Heading1"/>
              <w:rPr>
                <w:b/>
                <w:color w:val="auto"/>
                <w:sz w:val="22"/>
                <w:szCs w:val="22"/>
              </w:rPr>
            </w:pPr>
            <w:r w:rsidRPr="00625468">
              <w:rPr>
                <w:b/>
                <w:color w:val="auto"/>
                <w:sz w:val="22"/>
                <w:szCs w:val="22"/>
              </w:rPr>
              <w:t>Dialog 4</w:t>
            </w:r>
          </w:p>
          <w:p w:rsidR="00DC4BB4" w:rsidRPr="00625468" w:rsidRDefault="00DC4BB4" w:rsidP="002F4547">
            <w:pPr>
              <w:rPr>
                <w:b/>
              </w:rPr>
            </w:pPr>
            <w:r w:rsidRPr="00625468">
              <w:rPr>
                <w:b/>
              </w:rPr>
              <w:t xml:space="preserve">And </w:t>
            </w:r>
            <w:r w:rsidRPr="00625468">
              <w:rPr>
                <w:b/>
                <w:u w:val="single"/>
              </w:rPr>
              <w:t>Work on Research Paper Due Next Week</w:t>
            </w:r>
          </w:p>
        </w:tc>
      </w:tr>
      <w:tr w:rsidR="00DC4BB4" w:rsidRPr="00625468" w:rsidTr="002F4547">
        <w:trPr>
          <w:trHeight w:val="910"/>
        </w:trPr>
        <w:tc>
          <w:tcPr>
            <w:tcW w:w="2340" w:type="dxa"/>
            <w:tcBorders>
              <w:top w:val="single" w:sz="4" w:space="0" w:color="auto"/>
              <w:left w:val="single" w:sz="4" w:space="0" w:color="auto"/>
              <w:right w:val="single" w:sz="4" w:space="0" w:color="auto"/>
            </w:tcBorders>
            <w:shd w:val="clear" w:color="auto" w:fill="FFFFFF"/>
          </w:tcPr>
          <w:p w:rsidR="00DC4BB4" w:rsidRPr="00625468" w:rsidRDefault="00DC4BB4" w:rsidP="002F4547">
            <w:pPr>
              <w:rPr>
                <w:b/>
              </w:rPr>
            </w:pPr>
            <w:r>
              <w:rPr>
                <w:b/>
              </w:rPr>
              <w:t xml:space="preserve">7: </w:t>
            </w:r>
            <w:r>
              <w:t>May 5-12</w:t>
            </w:r>
          </w:p>
        </w:tc>
        <w:tc>
          <w:tcPr>
            <w:tcW w:w="216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DC4BB4" w:rsidRPr="00625468" w:rsidRDefault="00DC4BB4" w:rsidP="002F4547">
            <w:pPr>
              <w:rPr>
                <w:b/>
              </w:rPr>
            </w:pPr>
            <w:r w:rsidRPr="00625468">
              <w:rPr>
                <w:b/>
              </w:rPr>
              <w:t>Chapters 13-14: Daft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Research Paper Due</w:t>
            </w:r>
          </w:p>
        </w:tc>
      </w:tr>
      <w:tr w:rsidR="00DC4BB4" w:rsidRPr="00625468" w:rsidTr="002F4547">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rPr>
                <w:rFonts w:ascii="Arial" w:hAnsi="Arial" w:cs="Arial"/>
                <w:b/>
              </w:rPr>
            </w:pPr>
            <w:r w:rsidRPr="00625468">
              <w:rPr>
                <w:rFonts w:ascii="Arial" w:hAnsi="Arial" w:cs="Arial"/>
                <w:b/>
              </w:rPr>
              <w:t xml:space="preserve">8: </w:t>
            </w:r>
            <w:r>
              <w:t>May 12-18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Exam Covers: Daft Text- Chapters:  1-14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Chapters 1-14,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4BB4" w:rsidRPr="00625468" w:rsidRDefault="00DC4BB4" w:rsidP="002F4547">
            <w:pPr>
              <w:pStyle w:val="Heading1"/>
              <w:rPr>
                <w:b/>
                <w:color w:val="auto"/>
                <w:sz w:val="22"/>
                <w:szCs w:val="22"/>
              </w:rPr>
            </w:pPr>
            <w:r w:rsidRPr="00625468">
              <w:rPr>
                <w:b/>
                <w:color w:val="auto"/>
                <w:sz w:val="22"/>
                <w:szCs w:val="22"/>
              </w:rPr>
              <w:t xml:space="preserve">EXAM </w:t>
            </w:r>
          </w:p>
          <w:p w:rsidR="00DC4BB4" w:rsidRPr="00625468" w:rsidRDefault="00DC4BB4" w:rsidP="002F4547">
            <w:pPr>
              <w:pStyle w:val="Heading1"/>
              <w:rPr>
                <w:b/>
                <w:color w:val="auto"/>
                <w:sz w:val="22"/>
                <w:szCs w:val="22"/>
              </w:rPr>
            </w:pPr>
          </w:p>
        </w:tc>
      </w:tr>
    </w:tbl>
    <w:p w:rsidR="00BB0CDA" w:rsidRDefault="00BB0CDA" w:rsidP="000C2431">
      <w:r>
        <w:t>&gt;</w:t>
      </w:r>
      <w:permEnd w:id="376446357"/>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22FDB">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C94635">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FD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C94635">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C81"/>
    <w:multiLevelType w:val="hybridMultilevel"/>
    <w:tmpl w:val="D6C0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HNlLjHNotwRf16N8BjKkNtfqzSYm3ipvGhg2e/m7CRK0GR7ERg/GgW5Mz57raY4T/Pmk6GR0+22HPH+emvPPg==" w:salt="VPlrW71o/Pro4UQn62sXr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0F4A"/>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800EF"/>
    <w:rsid w:val="005A0DA6"/>
    <w:rsid w:val="005B440E"/>
    <w:rsid w:val="005E6005"/>
    <w:rsid w:val="00622FDB"/>
    <w:rsid w:val="00654D1F"/>
    <w:rsid w:val="00691DB2"/>
    <w:rsid w:val="006A1232"/>
    <w:rsid w:val="006B3B3E"/>
    <w:rsid w:val="007200FA"/>
    <w:rsid w:val="00723490"/>
    <w:rsid w:val="00731672"/>
    <w:rsid w:val="0078676A"/>
    <w:rsid w:val="00794217"/>
    <w:rsid w:val="007A4624"/>
    <w:rsid w:val="007D5A2A"/>
    <w:rsid w:val="007E50FD"/>
    <w:rsid w:val="00831592"/>
    <w:rsid w:val="00835832"/>
    <w:rsid w:val="00887623"/>
    <w:rsid w:val="00893C4C"/>
    <w:rsid w:val="008E4F4D"/>
    <w:rsid w:val="00902E96"/>
    <w:rsid w:val="009419CA"/>
    <w:rsid w:val="00965F8D"/>
    <w:rsid w:val="00980DD7"/>
    <w:rsid w:val="00986E96"/>
    <w:rsid w:val="009B2264"/>
    <w:rsid w:val="00A105A1"/>
    <w:rsid w:val="00A24A3B"/>
    <w:rsid w:val="00A473A2"/>
    <w:rsid w:val="00A67B54"/>
    <w:rsid w:val="00A754F6"/>
    <w:rsid w:val="00AE7841"/>
    <w:rsid w:val="00B01774"/>
    <w:rsid w:val="00B03977"/>
    <w:rsid w:val="00B6539E"/>
    <w:rsid w:val="00B71E16"/>
    <w:rsid w:val="00BB0CDA"/>
    <w:rsid w:val="00BB36A0"/>
    <w:rsid w:val="00BB466F"/>
    <w:rsid w:val="00BF0618"/>
    <w:rsid w:val="00BF10F5"/>
    <w:rsid w:val="00C210C5"/>
    <w:rsid w:val="00C94635"/>
    <w:rsid w:val="00CC5BCF"/>
    <w:rsid w:val="00CF1B68"/>
    <w:rsid w:val="00D4306D"/>
    <w:rsid w:val="00D71297"/>
    <w:rsid w:val="00D72497"/>
    <w:rsid w:val="00DC4BB4"/>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C9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816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9E1C-144C-4E6F-866A-ED92B576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2</cp:revision>
  <cp:lastPrinted>2021-10-07T18:18:00Z</cp:lastPrinted>
  <dcterms:created xsi:type="dcterms:W3CDTF">2024-01-04T15:40:00Z</dcterms:created>
  <dcterms:modified xsi:type="dcterms:W3CDTF">2024-01-04T15:40:00Z</dcterms:modified>
</cp:coreProperties>
</file>