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83D24" w:rsidRDefault="00983D24" w:rsidP="00983D24">
      <w:pPr>
        <w:spacing w:line="240" w:lineRule="auto"/>
        <w:contextualSpacing/>
        <w:jc w:val="center"/>
        <w:rPr>
          <w:rFonts w:ascii="Calibri" w:hAnsi="Calibri"/>
          <w:b/>
          <w:sz w:val="24"/>
          <w:szCs w:val="24"/>
        </w:rPr>
      </w:pPr>
      <w:r>
        <w:rPr>
          <w:rFonts w:ascii="Calibri" w:hAnsi="Calibri"/>
          <w:b/>
          <w:sz w:val="24"/>
          <w:szCs w:val="24"/>
        </w:rPr>
        <w:t>VIRTUAL CAMPUS</w:t>
      </w:r>
    </w:p>
    <w:p w:rsidR="00322CF7" w:rsidRPr="00983D24" w:rsidRDefault="00983D24" w:rsidP="00983D24">
      <w:pPr>
        <w:spacing w:line="240" w:lineRule="auto"/>
        <w:contextualSpacing/>
        <w:jc w:val="center"/>
        <w:rPr>
          <w:rFonts w:ascii="Calibri" w:hAnsi="Calibri"/>
          <w:b/>
          <w:sz w:val="24"/>
          <w:szCs w:val="24"/>
        </w:rPr>
      </w:pPr>
      <w:r w:rsidRPr="00C74157">
        <w:rPr>
          <w:rFonts w:ascii="Calibri" w:hAnsi="Calibri"/>
          <w:b/>
          <w:sz w:val="24"/>
          <w:szCs w:val="24"/>
        </w:rPr>
        <w:t>SCHOOL OF BEHAVIORAL &amp; SOCIAL SCIENCES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983D24"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lifelong learning, and service to God and humankind.</w:t>
      </w: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983D24" w:rsidP="00322CF7">
      <w:pPr>
        <w:rPr>
          <w:sz w:val="24"/>
          <w:szCs w:val="24"/>
        </w:rPr>
      </w:pPr>
      <w:r>
        <w:rPr>
          <w:sz w:val="24"/>
          <w:szCs w:val="24"/>
        </w:rPr>
        <w:t>JUAD 3319 – VC-01 – American Legal System</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47254C" w:rsidP="00322CF7">
      <w:pPr>
        <w:rPr>
          <w:sz w:val="24"/>
          <w:szCs w:val="24"/>
        </w:rPr>
      </w:pPr>
      <w:r>
        <w:rPr>
          <w:sz w:val="24"/>
          <w:szCs w:val="24"/>
        </w:rPr>
        <w:t>Summer</w:t>
      </w:r>
      <w:r w:rsidR="00322CF7" w:rsidRPr="00322CF7">
        <w:rPr>
          <w:sz w:val="24"/>
          <w:szCs w:val="24"/>
        </w:rPr>
        <w:t>, 2018</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983D24" w:rsidP="00322CF7">
      <w:pPr>
        <w:rPr>
          <w:sz w:val="24"/>
          <w:szCs w:val="24"/>
        </w:rPr>
      </w:pPr>
      <w:r>
        <w:rPr>
          <w:sz w:val="24"/>
          <w:szCs w:val="24"/>
        </w:rPr>
        <w:t>Jeanette Ahlenius</w:t>
      </w:r>
    </w:p>
    <w:p w:rsidR="00322CF7" w:rsidRPr="00322CF7" w:rsidRDefault="00322CF7" w:rsidP="00322CF7">
      <w:pPr>
        <w:spacing w:after="0"/>
        <w:outlineLvl w:val="0"/>
        <w:rPr>
          <w:b/>
          <w:sz w:val="24"/>
          <w:szCs w:val="24"/>
        </w:rPr>
      </w:pPr>
      <w:r w:rsidRPr="00322CF7">
        <w:rPr>
          <w:b/>
          <w:sz w:val="24"/>
          <w:szCs w:val="24"/>
        </w:rPr>
        <w:t>CONTACT INFORMATION:</w:t>
      </w:r>
    </w:p>
    <w:p w:rsidR="00983D24" w:rsidRPr="00322CF7" w:rsidRDefault="00322CF7" w:rsidP="00322CF7">
      <w:pPr>
        <w:rPr>
          <w:sz w:val="24"/>
          <w:szCs w:val="24"/>
        </w:rPr>
      </w:pPr>
      <w:r w:rsidRPr="00322CF7">
        <w:rPr>
          <w:sz w:val="24"/>
          <w:szCs w:val="24"/>
        </w:rPr>
        <w:t xml:space="preserve">WBU Email: </w:t>
      </w:r>
      <w:r w:rsidR="00983D24">
        <w:rPr>
          <w:sz w:val="24"/>
          <w:szCs w:val="24"/>
        </w:rPr>
        <w:t xml:space="preserve">  </w:t>
      </w:r>
      <w:hyperlink r:id="rId6" w:history="1">
        <w:r w:rsidR="00983D24" w:rsidRPr="000C014E">
          <w:rPr>
            <w:rStyle w:val="Hyperlink"/>
            <w:sz w:val="24"/>
            <w:szCs w:val="24"/>
          </w:rPr>
          <w:t>Jeanette.ahlenius@wayland.wbu.edu</w:t>
        </w:r>
      </w:hyperlink>
    </w:p>
    <w:p w:rsidR="00322CF7" w:rsidRPr="00322CF7" w:rsidRDefault="00983D24" w:rsidP="00322CF7">
      <w:pPr>
        <w:rPr>
          <w:sz w:val="24"/>
          <w:szCs w:val="24"/>
        </w:rPr>
      </w:pPr>
      <w:r>
        <w:rPr>
          <w:sz w:val="24"/>
          <w:szCs w:val="24"/>
        </w:rPr>
        <w:t>Cell phone:   956.212.0221</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983D24" w:rsidP="00322CF7">
      <w:pPr>
        <w:rPr>
          <w:sz w:val="24"/>
          <w:szCs w:val="24"/>
        </w:rPr>
      </w:pPr>
      <w:r>
        <w:rPr>
          <w:sz w:val="24"/>
          <w:szCs w:val="24"/>
        </w:rPr>
        <w:t>Online Course</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983D24" w:rsidP="00322CF7">
      <w:pPr>
        <w:rPr>
          <w:sz w:val="24"/>
          <w:szCs w:val="24"/>
        </w:rPr>
      </w:pPr>
      <w:r>
        <w:rPr>
          <w:sz w:val="24"/>
          <w:szCs w:val="24"/>
        </w:rPr>
        <w:t>Online Course</w:t>
      </w: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22CF7" w:rsidRDefault="00983D24" w:rsidP="00322CF7">
      <w:pPr>
        <w:rPr>
          <w:sz w:val="24"/>
          <w:szCs w:val="24"/>
        </w:rPr>
      </w:pPr>
      <w:r w:rsidRPr="00C74157">
        <w:rPr>
          <w:rFonts w:ascii="Calibri" w:hAnsi="Calibri"/>
          <w:sz w:val="24"/>
          <w:szCs w:val="24"/>
        </w:rPr>
        <w:t>A study of the American legal system including its history and development, the courts, participants, processes, the adversarial system, and criminal and civil law.</w:t>
      </w:r>
    </w:p>
    <w:p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p>
    <w:p w:rsidR="00322CF7" w:rsidRPr="00322CF7" w:rsidRDefault="00983D24" w:rsidP="00322CF7">
      <w:pPr>
        <w:rPr>
          <w:sz w:val="24"/>
          <w:szCs w:val="24"/>
        </w:rPr>
      </w:pPr>
      <w:r>
        <w:rPr>
          <w:sz w:val="24"/>
          <w:szCs w:val="24"/>
        </w:rPr>
        <w:t>None</w:t>
      </w: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tbl>
      <w:tblPr>
        <w:tblW w:w="1056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678"/>
        <w:gridCol w:w="1885"/>
        <w:gridCol w:w="1604"/>
        <w:gridCol w:w="622"/>
        <w:gridCol w:w="856"/>
        <w:gridCol w:w="1915"/>
      </w:tblGrid>
      <w:tr w:rsidR="00983D24" w:rsidRPr="0077290A" w:rsidTr="001E5E8A">
        <w:trPr>
          <w:tblCellSpacing w:w="15" w:type="dxa"/>
        </w:trPr>
        <w:tc>
          <w:tcPr>
            <w:tcW w:w="34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b/>
                <w:bCs/>
                <w:color w:val="000000"/>
                <w:sz w:val="18"/>
                <w:szCs w:val="18"/>
              </w:rPr>
              <w:t>TITLE</w:t>
            </w:r>
          </w:p>
        </w:tc>
        <w:tc>
          <w:tcPr>
            <w:tcW w:w="1785" w:type="dxa"/>
            <w:tcBorders>
              <w:top w:val="outset" w:sz="6" w:space="0" w:color="000000"/>
              <w:left w:val="outset" w:sz="6" w:space="0" w:color="000000"/>
              <w:bottom w:val="outset" w:sz="6" w:space="0" w:color="000000"/>
              <w:right w:val="outset" w:sz="6" w:space="0" w:color="000000"/>
            </w:tcBorders>
            <w:shd w:val="clear" w:color="auto" w:fill="FFFFFF"/>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b/>
                <w:bCs/>
                <w:color w:val="000000"/>
                <w:sz w:val="18"/>
                <w:szCs w:val="18"/>
              </w:rPr>
              <w:t>AUTHOR</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b/>
                <w:bCs/>
                <w:color w:val="000000"/>
                <w:sz w:val="18"/>
                <w:szCs w:val="18"/>
              </w:rPr>
              <w:t>PUBLISHER</w:t>
            </w:r>
          </w:p>
        </w:tc>
        <w:tc>
          <w:tcPr>
            <w:tcW w:w="570" w:type="dxa"/>
            <w:tcBorders>
              <w:top w:val="outset" w:sz="6" w:space="0" w:color="000000"/>
              <w:left w:val="outset" w:sz="6" w:space="0" w:color="000000"/>
              <w:bottom w:val="outset" w:sz="6" w:space="0" w:color="000000"/>
              <w:right w:val="outset" w:sz="6" w:space="0" w:color="000000"/>
            </w:tcBorders>
            <w:shd w:val="clear" w:color="auto" w:fill="FFFFFF"/>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b/>
                <w:bCs/>
                <w:color w:val="000000"/>
                <w:sz w:val="18"/>
                <w:szCs w:val="18"/>
              </w:rPr>
              <w:t>ED</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b/>
                <w:bCs/>
                <w:color w:val="000000"/>
                <w:sz w:val="18"/>
                <w:szCs w:val="18"/>
              </w:rPr>
              <w:t>YEAR</w:t>
            </w: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b/>
                <w:bCs/>
                <w:color w:val="000000"/>
                <w:sz w:val="18"/>
                <w:szCs w:val="18"/>
              </w:rPr>
              <w:t>ISBN#</w:t>
            </w:r>
          </w:p>
        </w:tc>
      </w:tr>
      <w:tr w:rsidR="00983D24" w:rsidRPr="0077290A" w:rsidTr="001E5E8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color w:val="000000"/>
                <w:sz w:val="18"/>
                <w:szCs w:val="18"/>
              </w:rPr>
              <w:t>Ca</w:t>
            </w:r>
            <w:r>
              <w:rPr>
                <w:rFonts w:ascii="Arial" w:eastAsia="Times New Roman" w:hAnsi="Arial" w:cs="Arial"/>
                <w:color w:val="000000"/>
                <w:sz w:val="18"/>
                <w:szCs w:val="18"/>
              </w:rPr>
              <w:t>r</w:t>
            </w:r>
            <w:r w:rsidRPr="0077290A">
              <w:rPr>
                <w:rFonts w:ascii="Arial" w:eastAsia="Times New Roman" w:hAnsi="Arial" w:cs="Arial"/>
                <w:color w:val="000000"/>
                <w:sz w:val="18"/>
                <w:szCs w:val="18"/>
              </w:rPr>
              <w:t>per's Understanding the Law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color w:val="000000"/>
                <w:sz w:val="18"/>
                <w:szCs w:val="18"/>
              </w:rPr>
              <w:t>McKinsey &amp; Burke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color w:val="000000"/>
                <w:sz w:val="18"/>
                <w:szCs w:val="18"/>
              </w:rPr>
              <w:t>Cengage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color w:val="000000"/>
                <w:sz w:val="18"/>
                <w:szCs w:val="18"/>
              </w:rPr>
              <w:t>7th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color w:val="000000"/>
                <w:sz w:val="18"/>
                <w:szCs w:val="18"/>
              </w:rPr>
              <w:t>2015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83D24" w:rsidRPr="0077290A" w:rsidRDefault="00983D24" w:rsidP="001E5E8A">
            <w:pPr>
              <w:spacing w:after="0" w:line="252" w:lineRule="atLeast"/>
              <w:jc w:val="center"/>
              <w:rPr>
                <w:rFonts w:ascii="Arial" w:eastAsia="Times New Roman" w:hAnsi="Arial" w:cs="Arial"/>
                <w:color w:val="000000"/>
                <w:sz w:val="18"/>
                <w:szCs w:val="18"/>
              </w:rPr>
            </w:pPr>
            <w:r w:rsidRPr="0077290A">
              <w:rPr>
                <w:rFonts w:ascii="Arial" w:eastAsia="Times New Roman" w:hAnsi="Arial" w:cs="Arial"/>
                <w:color w:val="000000"/>
                <w:sz w:val="18"/>
                <w:szCs w:val="18"/>
              </w:rPr>
              <w:t>9781285428420</w:t>
            </w:r>
          </w:p>
        </w:tc>
      </w:tr>
    </w:tbl>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322CF7" w:rsidRPr="00322CF7" w:rsidRDefault="00983D24" w:rsidP="00322CF7">
      <w:pPr>
        <w:rPr>
          <w:sz w:val="24"/>
          <w:szCs w:val="24"/>
        </w:rPr>
      </w:pPr>
      <w:r>
        <w:rPr>
          <w:sz w:val="24"/>
          <w:szCs w:val="24"/>
        </w:rPr>
        <w:t>Reliable internet access</w:t>
      </w:r>
    </w:p>
    <w:p w:rsidR="00322CF7" w:rsidRPr="00322CF7" w:rsidRDefault="00322CF7" w:rsidP="00322CF7">
      <w:pPr>
        <w:spacing w:after="0"/>
        <w:outlineLvl w:val="0"/>
        <w:rPr>
          <w:b/>
          <w:sz w:val="24"/>
          <w:szCs w:val="24"/>
        </w:rPr>
      </w:pPr>
      <w:r w:rsidRPr="00322CF7">
        <w:rPr>
          <w:b/>
          <w:sz w:val="24"/>
          <w:szCs w:val="24"/>
        </w:rPr>
        <w:lastRenderedPageBreak/>
        <w:t>COURSE OUTCOMES AND COMPETENCIES:</w:t>
      </w:r>
    </w:p>
    <w:p w:rsidR="00983D24" w:rsidRPr="00C74157" w:rsidRDefault="00983D24" w:rsidP="00983D24">
      <w:pPr>
        <w:spacing w:line="240" w:lineRule="auto"/>
        <w:contextualSpacing/>
        <w:rPr>
          <w:rFonts w:ascii="Calibri" w:hAnsi="Calibri"/>
          <w:sz w:val="24"/>
          <w:szCs w:val="24"/>
        </w:rPr>
      </w:pPr>
      <w:r w:rsidRPr="00C74157">
        <w:rPr>
          <w:rFonts w:ascii="Calibri" w:hAnsi="Calibri"/>
          <w:sz w:val="24"/>
          <w:szCs w:val="24"/>
        </w:rPr>
        <w:t xml:space="preserve">Upon completion of this course, each student will be able to understand, explain and describe: </w:t>
      </w:r>
    </w:p>
    <w:p w:rsidR="00983D24" w:rsidRPr="00C74157" w:rsidRDefault="00983D24" w:rsidP="00983D24">
      <w:pPr>
        <w:numPr>
          <w:ilvl w:val="0"/>
          <w:numId w:val="1"/>
        </w:numPr>
        <w:spacing w:after="200" w:line="240" w:lineRule="auto"/>
        <w:contextualSpacing/>
        <w:rPr>
          <w:rFonts w:ascii="Calibri" w:hAnsi="Calibri"/>
          <w:sz w:val="24"/>
          <w:szCs w:val="24"/>
        </w:rPr>
      </w:pPr>
      <w:r w:rsidRPr="00C74157">
        <w:rPr>
          <w:rFonts w:ascii="Calibri" w:hAnsi="Calibri"/>
          <w:sz w:val="24"/>
          <w:szCs w:val="24"/>
        </w:rPr>
        <w:t>the American legal system including its history and development,</w:t>
      </w:r>
    </w:p>
    <w:p w:rsidR="00983D24" w:rsidRPr="00C74157" w:rsidRDefault="00983D24" w:rsidP="00983D24">
      <w:pPr>
        <w:numPr>
          <w:ilvl w:val="0"/>
          <w:numId w:val="1"/>
        </w:numPr>
        <w:spacing w:after="200" w:line="240" w:lineRule="auto"/>
        <w:contextualSpacing/>
        <w:rPr>
          <w:rFonts w:ascii="Calibri" w:hAnsi="Calibri"/>
          <w:sz w:val="24"/>
          <w:szCs w:val="24"/>
        </w:rPr>
      </w:pPr>
      <w:r w:rsidRPr="00C74157">
        <w:rPr>
          <w:rFonts w:ascii="Calibri" w:hAnsi="Calibri"/>
          <w:sz w:val="24"/>
          <w:szCs w:val="24"/>
        </w:rPr>
        <w:t>the courts,</w:t>
      </w:r>
    </w:p>
    <w:p w:rsidR="00983D24" w:rsidRPr="00C74157" w:rsidRDefault="00983D24" w:rsidP="00983D24">
      <w:pPr>
        <w:numPr>
          <w:ilvl w:val="0"/>
          <w:numId w:val="1"/>
        </w:numPr>
        <w:spacing w:after="200" w:line="240" w:lineRule="auto"/>
        <w:contextualSpacing/>
        <w:rPr>
          <w:rFonts w:ascii="Calibri" w:hAnsi="Calibri"/>
          <w:sz w:val="24"/>
          <w:szCs w:val="24"/>
        </w:rPr>
      </w:pPr>
      <w:r w:rsidRPr="00C74157">
        <w:rPr>
          <w:rFonts w:ascii="Calibri" w:hAnsi="Calibri"/>
          <w:sz w:val="24"/>
          <w:szCs w:val="24"/>
        </w:rPr>
        <w:t xml:space="preserve">participants, </w:t>
      </w:r>
    </w:p>
    <w:p w:rsidR="00983D24" w:rsidRPr="00C74157" w:rsidRDefault="00983D24" w:rsidP="00983D24">
      <w:pPr>
        <w:numPr>
          <w:ilvl w:val="0"/>
          <w:numId w:val="1"/>
        </w:numPr>
        <w:spacing w:after="200" w:line="240" w:lineRule="auto"/>
        <w:contextualSpacing/>
        <w:rPr>
          <w:rFonts w:ascii="Calibri" w:hAnsi="Calibri"/>
          <w:sz w:val="24"/>
          <w:szCs w:val="24"/>
        </w:rPr>
      </w:pPr>
      <w:r w:rsidRPr="00C74157">
        <w:rPr>
          <w:rFonts w:ascii="Calibri" w:hAnsi="Calibri"/>
          <w:sz w:val="24"/>
          <w:szCs w:val="24"/>
        </w:rPr>
        <w:t xml:space="preserve">processes, </w:t>
      </w:r>
    </w:p>
    <w:p w:rsidR="00983D24" w:rsidRPr="00C74157" w:rsidRDefault="00983D24" w:rsidP="00983D24">
      <w:pPr>
        <w:numPr>
          <w:ilvl w:val="0"/>
          <w:numId w:val="1"/>
        </w:numPr>
        <w:spacing w:after="200" w:line="240" w:lineRule="auto"/>
        <w:contextualSpacing/>
        <w:rPr>
          <w:rFonts w:ascii="Calibri" w:hAnsi="Calibri"/>
          <w:sz w:val="24"/>
          <w:szCs w:val="24"/>
        </w:rPr>
      </w:pPr>
      <w:r w:rsidRPr="00C74157">
        <w:rPr>
          <w:rFonts w:ascii="Calibri" w:hAnsi="Calibri"/>
          <w:sz w:val="24"/>
          <w:szCs w:val="24"/>
        </w:rPr>
        <w:t xml:space="preserve">the adversarial system, </w:t>
      </w:r>
    </w:p>
    <w:p w:rsidR="00983D24" w:rsidRPr="00C74157" w:rsidRDefault="00983D24" w:rsidP="00983D24">
      <w:pPr>
        <w:numPr>
          <w:ilvl w:val="0"/>
          <w:numId w:val="1"/>
        </w:numPr>
        <w:spacing w:after="200" w:line="240" w:lineRule="auto"/>
        <w:contextualSpacing/>
        <w:rPr>
          <w:rFonts w:ascii="Calibri" w:hAnsi="Calibri"/>
          <w:sz w:val="24"/>
          <w:szCs w:val="24"/>
        </w:rPr>
      </w:pPr>
      <w:proofErr w:type="gramStart"/>
      <w:r w:rsidRPr="00C74157">
        <w:rPr>
          <w:rFonts w:ascii="Calibri" w:hAnsi="Calibri"/>
          <w:sz w:val="24"/>
          <w:szCs w:val="24"/>
        </w:rPr>
        <w:t>and</w:t>
      </w:r>
      <w:proofErr w:type="gramEnd"/>
      <w:r w:rsidRPr="00C74157">
        <w:rPr>
          <w:rFonts w:ascii="Calibri" w:hAnsi="Calibri"/>
          <w:sz w:val="24"/>
          <w:szCs w:val="24"/>
        </w:rPr>
        <w:t xml:space="preserve"> criminal and civil law.</w:t>
      </w:r>
    </w:p>
    <w:p w:rsidR="00983D24" w:rsidRDefault="00983D24" w:rsidP="00983D24">
      <w:pPr>
        <w:rPr>
          <w:sz w:val="24"/>
          <w:szCs w:val="24"/>
        </w:rPr>
      </w:pPr>
    </w:p>
    <w:p w:rsidR="00322CF7" w:rsidRPr="00322CF7" w:rsidRDefault="00322CF7" w:rsidP="00983D24">
      <w:pPr>
        <w:rPr>
          <w:b/>
          <w:sz w:val="24"/>
          <w:szCs w:val="24"/>
        </w:rPr>
      </w:pPr>
      <w:r w:rsidRPr="00322CF7">
        <w:rPr>
          <w:b/>
          <w:sz w:val="24"/>
          <w:szCs w:val="24"/>
        </w:rPr>
        <w:t>ATTENDANCE REQUIREMENTS:</w:t>
      </w:r>
    </w:p>
    <w:p w:rsid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83D24" w:rsidRPr="00C74157" w:rsidRDefault="00983D24" w:rsidP="00983D24">
      <w:pPr>
        <w:spacing w:line="240" w:lineRule="auto"/>
        <w:contextualSpacing/>
        <w:rPr>
          <w:rFonts w:ascii="Calibri" w:hAnsi="Calibri"/>
          <w:color w:val="000000"/>
          <w:sz w:val="24"/>
          <w:szCs w:val="24"/>
          <w:u w:val="single"/>
        </w:rPr>
      </w:pPr>
      <w:proofErr w:type="spellStart"/>
      <w:r w:rsidRPr="00C74157">
        <w:rPr>
          <w:rFonts w:ascii="Calibri" w:hAnsi="Calibri"/>
          <w:color w:val="000000"/>
          <w:sz w:val="24"/>
          <w:szCs w:val="24"/>
          <w:u w:val="single"/>
        </w:rPr>
        <w:t>WBUonline</w:t>
      </w:r>
      <w:proofErr w:type="spellEnd"/>
      <w:r w:rsidRPr="00C74157">
        <w:rPr>
          <w:rFonts w:ascii="Calibri" w:hAnsi="Calibri"/>
          <w:color w:val="000000"/>
          <w:sz w:val="24"/>
          <w:szCs w:val="24"/>
          <w:u w:val="single"/>
        </w:rPr>
        <w:t xml:space="preserve"> (Virtual Campus)</w:t>
      </w:r>
    </w:p>
    <w:p w:rsidR="00983D24" w:rsidRPr="00C74157" w:rsidRDefault="00983D24" w:rsidP="00983D24">
      <w:pPr>
        <w:spacing w:line="240" w:lineRule="auto"/>
        <w:contextualSpacing/>
        <w:rPr>
          <w:rFonts w:ascii="Calibri" w:hAnsi="Calibri"/>
          <w:color w:val="000000"/>
          <w:sz w:val="24"/>
          <w:szCs w:val="24"/>
        </w:rPr>
      </w:pPr>
      <w:r w:rsidRPr="00C7415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w:t>
      </w:r>
      <w:r w:rsidRPr="0047254C">
        <w:rPr>
          <w:rFonts w:ascii="Calibri" w:hAnsi="Calibri"/>
          <w:b/>
          <w:color w:val="000000"/>
          <w:sz w:val="24"/>
          <w:szCs w:val="24"/>
        </w:rPr>
        <w:t>Any student absent 25 percent or more of the online course, i.e., non-participatory during 3 or more weeks of an 11 week term, may receive an F for that course. Instructors may also file a Report of Unsatisfactory Progress for students with excessive non-participation.</w:t>
      </w:r>
      <w:r w:rsidRPr="00C74157">
        <w:rPr>
          <w:rFonts w:ascii="Calibri" w:hAnsi="Calibri"/>
          <w:color w:val="000000"/>
          <w:sz w:val="24"/>
          <w:szCs w:val="24"/>
        </w:rPr>
        <w:t xml:space="preserve">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83D24" w:rsidRPr="00322CF7" w:rsidRDefault="00983D24" w:rsidP="00322CF7">
      <w:pPr>
        <w:rPr>
          <w:sz w:val="24"/>
          <w:szCs w:val="24"/>
        </w:rPr>
      </w:pPr>
    </w:p>
    <w:p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spacing w:after="0"/>
        <w:outlineLvl w:val="0"/>
        <w:rPr>
          <w:b/>
          <w:sz w:val="24"/>
          <w:szCs w:val="24"/>
        </w:rPr>
      </w:pPr>
      <w:r w:rsidRPr="00322CF7">
        <w:rPr>
          <w:b/>
          <w:sz w:val="24"/>
          <w:szCs w:val="24"/>
        </w:rPr>
        <w:t>COURSE REQUIREMENTS and GRADING CRITERIA:</w:t>
      </w:r>
    </w:p>
    <w:p w:rsidR="00983D24" w:rsidRDefault="00983D24" w:rsidP="00983D24">
      <w:r>
        <w:t>Weekly assignments/Discussion Boards, 3 Quizzes and a Final Exam</w:t>
      </w:r>
    </w:p>
    <w:p w:rsidR="00983D24" w:rsidRDefault="00983D24" w:rsidP="00983D24">
      <w:pPr>
        <w:rPr>
          <w:u w:val="single"/>
        </w:rPr>
      </w:pPr>
      <w:r>
        <w:rPr>
          <w:u w:val="single"/>
        </w:rPr>
        <w:t>Procedure used for computation of Final Grade</w:t>
      </w:r>
    </w:p>
    <w:p w:rsidR="00983D24" w:rsidRDefault="00983D24" w:rsidP="00983D24">
      <w:pPr>
        <w:pStyle w:val="ListParagraph"/>
        <w:numPr>
          <w:ilvl w:val="0"/>
          <w:numId w:val="2"/>
        </w:numPr>
      </w:pPr>
      <w:r>
        <w:t>Responses to Discussion Board assignments and completion of any additional written assignments each week:  20% of Final Grade.</w:t>
      </w:r>
    </w:p>
    <w:p w:rsidR="00983D24" w:rsidRDefault="00983D24" w:rsidP="00983D24">
      <w:pPr>
        <w:pStyle w:val="ListParagraph"/>
        <w:numPr>
          <w:ilvl w:val="0"/>
          <w:numId w:val="2"/>
        </w:numPr>
      </w:pPr>
      <w:r>
        <w:t>3 Quizzes over reading assignments and Discussion Board topics, averaged together for Quiz Grade:  40% of Final Grade.</w:t>
      </w:r>
    </w:p>
    <w:p w:rsidR="00983D24" w:rsidRPr="00714D81" w:rsidRDefault="00983D24" w:rsidP="00983D24">
      <w:pPr>
        <w:pStyle w:val="ListParagraph"/>
        <w:numPr>
          <w:ilvl w:val="0"/>
          <w:numId w:val="2"/>
        </w:numPr>
      </w:pPr>
      <w:r>
        <w:t>Final Exam:  40% of Final Grade.</w:t>
      </w:r>
    </w:p>
    <w:p w:rsidR="00983D24" w:rsidRPr="00C74157" w:rsidRDefault="00983D24" w:rsidP="00983D24">
      <w:pPr>
        <w:pStyle w:val="NormalWeb"/>
        <w:spacing w:before="0" w:beforeAutospacing="0" w:after="0" w:afterAutospacing="0"/>
        <w:contextualSpacing/>
        <w:rPr>
          <w:rFonts w:ascii="Calibri" w:hAnsi="Calibri"/>
          <w:u w:val="single"/>
        </w:rPr>
      </w:pPr>
      <w:r w:rsidRPr="00C74157">
        <w:rPr>
          <w:rFonts w:ascii="Calibri" w:hAnsi="Calibri"/>
          <w:u w:val="single"/>
        </w:rPr>
        <w:t>The University has a standard grade scale:</w:t>
      </w:r>
    </w:p>
    <w:p w:rsidR="00322CF7" w:rsidRDefault="00983D24" w:rsidP="00FF7475">
      <w:pPr>
        <w:pStyle w:val="NormalWeb"/>
        <w:spacing w:before="0" w:beforeAutospacing="0" w:after="0" w:afterAutospacing="0"/>
        <w:contextualSpacing/>
        <w:rPr>
          <w:rFonts w:ascii="Calibri" w:hAnsi="Calibri"/>
        </w:rPr>
      </w:pPr>
      <w:r w:rsidRPr="00C7415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74157">
        <w:rPr>
          <w:rFonts w:ascii="Calibri" w:hAnsi="Calibri"/>
        </w:rPr>
        <w:t>microterm</w:t>
      </w:r>
      <w:proofErr w:type="spellEnd"/>
      <w:r w:rsidRPr="00C7415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74157">
        <w:rPr>
          <w:rFonts w:ascii="Calibri" w:hAnsi="Calibri"/>
        </w:rPr>
        <w:t>the I</w:t>
      </w:r>
      <w:proofErr w:type="gramEnd"/>
      <w:r w:rsidRPr="00C74157">
        <w:rPr>
          <w:rFonts w:ascii="Calibri" w:hAnsi="Calibri"/>
        </w:rPr>
        <w:t xml:space="preserve"> is converted to an F.</w:t>
      </w:r>
    </w:p>
    <w:p w:rsidR="00FF7475" w:rsidRPr="00322CF7" w:rsidRDefault="00FF7475" w:rsidP="00FF7475">
      <w:pPr>
        <w:pStyle w:val="NormalWeb"/>
        <w:spacing w:before="0" w:beforeAutospacing="0" w:after="0" w:afterAutospacing="0"/>
        <w:contextualSpacing/>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8C0FEB" w:rsidRDefault="008C0FEB" w:rsidP="008C0FEB"/>
    <w:p w:rsidR="008C0FEB" w:rsidRPr="001C03C1" w:rsidRDefault="008C0FEB" w:rsidP="008C0FEB">
      <w:r>
        <w:t>Week 1</w:t>
      </w:r>
      <w:r>
        <w:tab/>
      </w:r>
      <w:r>
        <w:tab/>
      </w:r>
      <w:r w:rsidR="00B13F89">
        <w:t>(Begins)</w:t>
      </w:r>
      <w:r w:rsidR="00B13F89">
        <w:tab/>
        <w:t>May 28</w:t>
      </w:r>
      <w:r w:rsidR="00EE72FE">
        <w:t>, 2018</w:t>
      </w:r>
      <w:r>
        <w:tab/>
      </w:r>
      <w:r w:rsidR="00B13F89">
        <w:tab/>
      </w:r>
      <w:r>
        <w:t>History and the Constitution (Chapters 1 and 2)</w:t>
      </w:r>
    </w:p>
    <w:p w:rsidR="00EE72FE" w:rsidRPr="00B13F89" w:rsidRDefault="00B13F89" w:rsidP="008C0FEB">
      <w:r>
        <w:t>Week 2</w:t>
      </w:r>
      <w:r>
        <w:tab/>
      </w:r>
      <w:r>
        <w:tab/>
      </w:r>
      <w:r>
        <w:tab/>
        <w:t>June 4</w:t>
      </w:r>
      <w:r w:rsidR="00EE72FE">
        <w:t>, 2018</w:t>
      </w:r>
      <w:r w:rsidR="00EE72FE">
        <w:tab/>
      </w:r>
      <w:r w:rsidR="008C0FEB">
        <w:tab/>
        <w:t>Courts (Chapter 3)</w:t>
      </w:r>
    </w:p>
    <w:p w:rsidR="008C0FEB" w:rsidRDefault="001C03C1" w:rsidP="008C0FEB">
      <w:r>
        <w:t>Week</w:t>
      </w:r>
      <w:r w:rsidR="00B13F89">
        <w:t xml:space="preserve"> 3</w:t>
      </w:r>
      <w:r w:rsidR="00B13F89">
        <w:tab/>
      </w:r>
      <w:r w:rsidR="00B13F89">
        <w:tab/>
      </w:r>
      <w:r w:rsidR="00B13F89">
        <w:tab/>
        <w:t>June 11</w:t>
      </w:r>
      <w:r>
        <w:t>, 20</w:t>
      </w:r>
      <w:r w:rsidR="00B13F89">
        <w:t>18</w:t>
      </w:r>
      <w:r w:rsidR="00B13F89">
        <w:tab/>
      </w:r>
      <w:r w:rsidR="00B13F89">
        <w:tab/>
        <w:t>Quiz 1 (Due Sunday, June 17</w:t>
      </w:r>
      <w:r w:rsidR="008C0FEB">
        <w:t>, midnight CST)</w:t>
      </w:r>
    </w:p>
    <w:p w:rsidR="008C0FEB" w:rsidRPr="001C03C1" w:rsidRDefault="00B13F89" w:rsidP="008C0FEB">
      <w:r>
        <w:t>Week 4</w:t>
      </w:r>
      <w:r>
        <w:tab/>
      </w:r>
      <w:r>
        <w:tab/>
      </w:r>
      <w:r>
        <w:tab/>
        <w:t>June 18</w:t>
      </w:r>
      <w:r w:rsidR="001C03C1">
        <w:t>, 2018</w:t>
      </w:r>
      <w:r w:rsidR="001C03C1">
        <w:tab/>
      </w:r>
      <w:r w:rsidR="008C0FEB">
        <w:tab/>
        <w:t>Lawyers (Chapter 4)</w:t>
      </w:r>
    </w:p>
    <w:p w:rsidR="008C0FEB" w:rsidRDefault="00B13F89" w:rsidP="008C0FEB">
      <w:r>
        <w:t>Week 5</w:t>
      </w:r>
      <w:r>
        <w:tab/>
      </w:r>
      <w:r>
        <w:tab/>
      </w:r>
      <w:r>
        <w:tab/>
        <w:t>June 25</w:t>
      </w:r>
      <w:r w:rsidR="008C0FEB">
        <w:t>, 2018</w:t>
      </w:r>
      <w:r w:rsidR="008C0FEB">
        <w:tab/>
      </w:r>
      <w:r w:rsidR="008C0FEB">
        <w:tab/>
        <w:t>Jury and Police (Chapters 3 and 6)</w:t>
      </w:r>
    </w:p>
    <w:p w:rsidR="008C0FEB" w:rsidRDefault="00B13F89" w:rsidP="008C0FEB">
      <w:r>
        <w:t>Week 6</w:t>
      </w:r>
      <w:r>
        <w:tab/>
      </w:r>
      <w:r>
        <w:tab/>
      </w:r>
      <w:r>
        <w:tab/>
        <w:t>July 2</w:t>
      </w:r>
      <w:r w:rsidR="008C0FEB">
        <w:t>, 2018</w:t>
      </w:r>
      <w:r>
        <w:tab/>
      </w:r>
      <w:r>
        <w:tab/>
        <w:t>Quiz 2 (Due Sunday, July 8</w:t>
      </w:r>
      <w:r w:rsidR="008C0FEB">
        <w:t>, midnight CST)</w:t>
      </w:r>
    </w:p>
    <w:p w:rsidR="008C0FEB" w:rsidRDefault="00B13F89" w:rsidP="008C0FEB">
      <w:r>
        <w:t>Week 7</w:t>
      </w:r>
      <w:r>
        <w:tab/>
      </w:r>
      <w:r>
        <w:tab/>
      </w:r>
      <w:r>
        <w:tab/>
        <w:t>July 9</w:t>
      </w:r>
      <w:r w:rsidR="008C0FEB">
        <w:t>, 2018</w:t>
      </w:r>
      <w:r w:rsidR="008C0FEB">
        <w:tab/>
      </w:r>
      <w:r w:rsidR="001C03C1">
        <w:tab/>
      </w:r>
      <w:r w:rsidR="008C0FEB">
        <w:t>Civil Trial Process (Chapter 3)</w:t>
      </w:r>
    </w:p>
    <w:p w:rsidR="008C0FEB" w:rsidRDefault="00B13F89" w:rsidP="008C0FEB">
      <w:r>
        <w:t>Week 8</w:t>
      </w:r>
      <w:r>
        <w:tab/>
      </w:r>
      <w:r>
        <w:tab/>
      </w:r>
      <w:r>
        <w:tab/>
        <w:t>July 16</w:t>
      </w:r>
      <w:r w:rsidR="008C0FEB">
        <w:t>, 2018</w:t>
      </w:r>
      <w:r w:rsidR="008C0FEB">
        <w:tab/>
      </w:r>
      <w:r w:rsidR="001C03C1">
        <w:tab/>
      </w:r>
      <w:r w:rsidR="008C0FEB">
        <w:t>Criminal Trial Process (Chapters 3 and 6)</w:t>
      </w:r>
    </w:p>
    <w:p w:rsidR="008C0FEB" w:rsidRDefault="00B13F89" w:rsidP="008C0FEB">
      <w:r>
        <w:t>Week 9</w:t>
      </w:r>
      <w:r>
        <w:tab/>
      </w:r>
      <w:r>
        <w:tab/>
      </w:r>
      <w:r>
        <w:tab/>
        <w:t>July 23</w:t>
      </w:r>
      <w:r w:rsidR="008C0FEB">
        <w:t>, 2018</w:t>
      </w:r>
      <w:r w:rsidR="008C0FEB">
        <w:tab/>
      </w:r>
      <w:r>
        <w:tab/>
        <w:t>Quiz 3 (Due Sunday, July 29</w:t>
      </w:r>
      <w:r w:rsidR="008C0FEB">
        <w:t>, midnight CST)</w:t>
      </w:r>
    </w:p>
    <w:p w:rsidR="008C0FEB" w:rsidRDefault="00B13F89" w:rsidP="008C0FEB">
      <w:r>
        <w:t>Week 10</w:t>
      </w:r>
      <w:r>
        <w:tab/>
      </w:r>
      <w:r>
        <w:tab/>
        <w:t>July 30</w:t>
      </w:r>
      <w:r w:rsidR="008C0FEB">
        <w:t>, 2018</w:t>
      </w:r>
      <w:r w:rsidR="008C0FEB">
        <w:tab/>
      </w:r>
      <w:r w:rsidR="001C03C1">
        <w:tab/>
      </w:r>
      <w:r w:rsidR="008C0FEB">
        <w:t>Additional readings from Chapters 7-15</w:t>
      </w:r>
    </w:p>
    <w:p w:rsidR="008C0FEB" w:rsidRPr="009D5BEE" w:rsidRDefault="00B13F89" w:rsidP="008C0FEB">
      <w:r>
        <w:t>Week 11</w:t>
      </w:r>
      <w:r>
        <w:tab/>
      </w:r>
      <w:r>
        <w:tab/>
        <w:t>August 6</w:t>
      </w:r>
      <w:r w:rsidR="001C03C1">
        <w:t>, 2018</w:t>
      </w:r>
      <w:r w:rsidR="001C03C1">
        <w:tab/>
      </w:r>
      <w:r w:rsidR="001C03C1">
        <w:tab/>
        <w:t>Fina</w:t>
      </w:r>
      <w:r w:rsidR="008C0FEB">
        <w:t xml:space="preserve">l Exam (Due </w:t>
      </w:r>
      <w:r w:rsidR="008C0FEB" w:rsidRPr="005D6104">
        <w:rPr>
          <w:u w:val="single"/>
        </w:rPr>
        <w:t>Saturday</w:t>
      </w:r>
      <w:r w:rsidR="008C0FEB">
        <w:t xml:space="preserve">, </w:t>
      </w:r>
      <w:r>
        <w:rPr>
          <w:u w:val="single"/>
        </w:rPr>
        <w:t>August 11</w:t>
      </w:r>
      <w:bookmarkStart w:id="0" w:name="_GoBack"/>
      <w:bookmarkEnd w:id="0"/>
      <w:r w:rsidR="008C0FEB">
        <w:t>, midnight CST)</w:t>
      </w:r>
    </w:p>
    <w:p w:rsidR="008C0FEB" w:rsidRDefault="008C0FEB" w:rsidP="008C0FEB"/>
    <w:p w:rsidR="008C0FEB" w:rsidRPr="00714D81" w:rsidRDefault="008C0FEB" w:rsidP="008C0FEB">
      <w:pPr>
        <w:rPr>
          <w:b/>
        </w:rPr>
      </w:pPr>
      <w:r>
        <w:rPr>
          <w:b/>
        </w:rPr>
        <w:t>This syllabus is not a contract.  The syllabus can be changed or altered at any time by the instructor.  The instructor will notify students of any changes.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ADDITIONAL INFORMATION</w:t>
      </w:r>
    </w:p>
    <w:p w:rsidR="00322CF7" w:rsidRPr="00322CF7" w:rsidRDefault="00322CF7" w:rsidP="00322CF7">
      <w:pPr>
        <w:rPr>
          <w:sz w:val="24"/>
          <w:szCs w:val="24"/>
        </w:rPr>
      </w:pPr>
    </w:p>
    <w:p w:rsidR="00983D24" w:rsidRPr="00C74157" w:rsidRDefault="00B13F89" w:rsidP="00983D24">
      <w:pPr>
        <w:spacing w:line="240" w:lineRule="auto"/>
        <w:contextualSpacing/>
        <w:rPr>
          <w:rFonts w:ascii="Calibri" w:hAnsi="Calibri"/>
          <w:b/>
          <w:sz w:val="24"/>
          <w:szCs w:val="24"/>
        </w:rPr>
      </w:pPr>
      <w:hyperlink r:id="rId7" w:history="1">
        <w:r w:rsidR="00983D24" w:rsidRPr="00C74157">
          <w:rPr>
            <w:rStyle w:val="Hyperlink"/>
            <w:rFonts w:ascii="Calibri" w:hAnsi="Calibri"/>
            <w:b/>
            <w:sz w:val="24"/>
            <w:szCs w:val="24"/>
          </w:rPr>
          <w:t>http://catalog.wbu.edu</w:t>
        </w:r>
      </w:hyperlink>
    </w:p>
    <w:p w:rsidR="006B7776" w:rsidRDefault="00B13F8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92F0B"/>
    <w:multiLevelType w:val="hybridMultilevel"/>
    <w:tmpl w:val="D3E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41635"/>
    <w:multiLevelType w:val="hybridMultilevel"/>
    <w:tmpl w:val="456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60F9"/>
    <w:rsid w:val="001C03C1"/>
    <w:rsid w:val="002036D6"/>
    <w:rsid w:val="00216AB8"/>
    <w:rsid w:val="00322CF7"/>
    <w:rsid w:val="0047254C"/>
    <w:rsid w:val="004B2CBF"/>
    <w:rsid w:val="006C7981"/>
    <w:rsid w:val="008C0FEB"/>
    <w:rsid w:val="0096720B"/>
    <w:rsid w:val="00983D24"/>
    <w:rsid w:val="00B13F89"/>
    <w:rsid w:val="00D463DA"/>
    <w:rsid w:val="00EE72FE"/>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basedOn w:val="DefaultParagraphFont"/>
    <w:unhideWhenUsed/>
    <w:rsid w:val="00983D24"/>
    <w:rPr>
      <w:color w:val="0563C1" w:themeColor="hyperlink"/>
      <w:u w:val="single"/>
    </w:rPr>
  </w:style>
  <w:style w:type="paragraph" w:styleId="NormalWeb">
    <w:name w:val="Normal (Web)"/>
    <w:basedOn w:val="Normal"/>
    <w:rsid w:val="00983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3D24"/>
    <w:pPr>
      <w:spacing w:after="200" w:line="276"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ette.ahlenius@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Jeanette Ahlenius</cp:lastModifiedBy>
  <cp:revision>4</cp:revision>
  <dcterms:created xsi:type="dcterms:W3CDTF">2018-04-23T16:18:00Z</dcterms:created>
  <dcterms:modified xsi:type="dcterms:W3CDTF">2018-04-23T16:46:00Z</dcterms:modified>
</cp:coreProperties>
</file>