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WBU Flame logo&#10;&#10;&quot;WBUlogo&quot;" descr="WBU Flame logo&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w:jc w:val="center"/>
      </w:pPr>
      <w:r>
        <w:rPr>
          <w:rtl w:val="0"/>
          <w:lang w:val="en-US"/>
        </w:rPr>
        <w:t xml:space="preserve">Virtual </w:t>
      </w:r>
      <w:r>
        <w:rPr>
          <w:rtl w:val="0"/>
          <w:lang w:val="en-US"/>
        </w:rPr>
        <w:t>Campu</w:t>
      </w:r>
      <w:r>
        <w:rPr>
          <w:rtl w:val="0"/>
          <w:lang w:val="en-US"/>
        </w:rPr>
        <w:t>s</w:t>
      </w:r>
    </w:p>
    <w:p>
      <w:pPr>
        <w:pStyle w:val="Body"/>
        <w:jc w:val="center"/>
      </w:pPr>
      <w:r>
        <w:rPr>
          <w:rtl w:val="0"/>
          <w:lang w:val="en-US"/>
        </w:rPr>
        <w:t>School of Business</w:t>
      </w:r>
    </w:p>
    <w:p>
      <w:pPr>
        <w:pStyle w:val="Heading"/>
      </w:pPr>
    </w:p>
    <w:p>
      <w:pPr>
        <w:pStyle w:val="Heading"/>
      </w:pPr>
      <w:r>
        <w:rPr>
          <w:rtl w:val="0"/>
          <w:lang w:val="de-DE"/>
        </w:rPr>
        <w:t>2. UNIVERSITY MISSION STATEMENT</w:t>
      </w:r>
    </w:p>
    <w:p>
      <w:pPr>
        <w:pStyle w:val="Body"/>
      </w:pPr>
      <w:r>
        <w:rPr>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w:pPr>
    </w:p>
    <w:p>
      <w:pPr>
        <w:pStyle w:val="Heading"/>
      </w:pPr>
      <w:r>
        <w:rPr>
          <w:rtl w:val="0"/>
          <w:lang w:val="de-DE"/>
        </w:rPr>
        <w:t xml:space="preserve">3. COURSE NUMBER &amp; NAME: </w:t>
      </w:r>
    </w:p>
    <w:p>
      <w:pPr>
        <w:pStyle w:val="Body"/>
      </w:pPr>
      <w:r>
        <w:rPr>
          <w:rtl w:val="0"/>
        </w:rPr>
        <w:t>MISM 3327-</w:t>
      </w:r>
      <w:r>
        <w:rPr>
          <w:rtl w:val="0"/>
          <w:lang w:val="en-US"/>
        </w:rPr>
        <w:t>VC01</w:t>
      </w:r>
      <w:r>
        <w:rPr>
          <w:rtl w:val="0"/>
          <w:lang w:val="en-US"/>
        </w:rPr>
        <w:t>, Computer Networking</w:t>
      </w:r>
    </w:p>
    <w:p>
      <w:pPr>
        <w:pStyle w:val="Heading"/>
      </w:pPr>
      <w:r>
        <w:rPr>
          <w:rtl w:val="0"/>
          <w:lang w:val="de-DE"/>
        </w:rPr>
        <w:t xml:space="preserve">4. TERM: </w:t>
      </w:r>
    </w:p>
    <w:p>
      <w:pPr>
        <w:pStyle w:val="Body"/>
      </w:pPr>
      <w:r>
        <w:rPr>
          <w:rtl w:val="0"/>
        </w:rPr>
        <w:t>S</w:t>
      </w:r>
      <w:r>
        <w:rPr>
          <w:rtl w:val="0"/>
          <w:lang w:val="en-US"/>
        </w:rPr>
        <w:t>ummer</w:t>
      </w:r>
      <w:r>
        <w:rPr>
          <w:rtl w:val="0"/>
        </w:rPr>
        <w:t xml:space="preserve"> 2018</w:t>
      </w:r>
    </w:p>
    <w:p>
      <w:pPr>
        <w:pStyle w:val="Body"/>
      </w:pPr>
    </w:p>
    <w:p>
      <w:pPr>
        <w:pStyle w:val="Heading"/>
      </w:pPr>
      <w:r>
        <w:rPr>
          <w:rtl w:val="0"/>
        </w:rPr>
        <w:t xml:space="preserve">5. INSTRUCTOR: </w:t>
      </w:r>
    </w:p>
    <w:p>
      <w:pPr>
        <w:pStyle w:val="Body"/>
      </w:pPr>
      <w:r>
        <w:rPr>
          <w:rtl w:val="0"/>
          <w:lang w:val="en-US"/>
        </w:rPr>
        <w:t>Shannon Newsome</w:t>
      </w:r>
    </w:p>
    <w:p>
      <w:pPr>
        <w:pStyle w:val="Body"/>
      </w:pPr>
    </w:p>
    <w:p>
      <w:pPr>
        <w:pStyle w:val="Heading"/>
      </w:pPr>
      <w:r>
        <w:rPr>
          <w:rtl w:val="0"/>
          <w:lang w:val="en-US"/>
        </w:rPr>
        <w:t>6. CONTACT INFORMATION:</w:t>
      </w:r>
    </w:p>
    <w:p>
      <w:pPr>
        <w:pStyle w:val="Body"/>
      </w:pPr>
      <w:r>
        <w:rPr>
          <w:rtl w:val="0"/>
          <w:lang w:val="en-US"/>
        </w:rPr>
        <w:t xml:space="preserve">Office phone: </w:t>
      </w:r>
      <w:r>
        <w:rPr>
          <w:rtl w:val="0"/>
          <w:lang w:val="en-US"/>
        </w:rPr>
        <w:t>331.234.7316</w:t>
      </w:r>
    </w:p>
    <w:p>
      <w:pPr>
        <w:pStyle w:val="Body"/>
      </w:pPr>
      <w:r>
        <w:rPr>
          <w:rtl w:val="0"/>
        </w:rPr>
        <w:t xml:space="preserve">WBU Email: </w:t>
      </w:r>
      <w:r>
        <w:rPr>
          <w:rtl w:val="0"/>
          <w:lang w:val="en-US"/>
        </w:rPr>
        <w:t>Shannon.newsome@wayland.wbu.edu</w:t>
      </w:r>
    </w:p>
    <w:p>
      <w:pPr>
        <w:pStyle w:val="Body"/>
      </w:pPr>
      <w:r>
        <w:rPr>
          <w:rtl w:val="0"/>
          <w:lang w:val="en-US"/>
        </w:rPr>
        <w:t>Cell phone: optional</w:t>
      </w:r>
    </w:p>
    <w:p>
      <w:pPr>
        <w:pStyle w:val="Body"/>
      </w:pPr>
    </w:p>
    <w:p>
      <w:pPr>
        <w:pStyle w:val="Heading"/>
      </w:pPr>
      <w:r>
        <w:rPr>
          <w:rtl w:val="0"/>
          <w:lang w:val="en-US"/>
        </w:rPr>
        <w:t xml:space="preserve">7. OFFICE HOURS, BUILDING &amp; LOCATION: </w:t>
      </w:r>
    </w:p>
    <w:p>
      <w:pPr>
        <w:pStyle w:val="Body"/>
      </w:pPr>
      <w:r>
        <w:rPr>
          <w:rtl w:val="0"/>
        </w:rPr>
        <w:t xml:space="preserve">     </w:t>
      </w:r>
      <w:r>
        <w:rPr>
          <w:rtl w:val="0"/>
          <w:lang w:val="en-US"/>
        </w:rPr>
        <w:t>Online Discussion Board: Office Hours</w:t>
      </w:r>
    </w:p>
    <w:p>
      <w:pPr>
        <w:pStyle w:val="Body"/>
      </w:pPr>
    </w:p>
    <w:p>
      <w:pPr>
        <w:pStyle w:val="Heading"/>
      </w:pPr>
      <w:r>
        <w:rPr>
          <w:rtl w:val="0"/>
          <w:lang w:val="en-US"/>
        </w:rPr>
        <w:t>8. COURSE MEETING TIME &amp; LOCATION:</w:t>
      </w:r>
    </w:p>
    <w:p>
      <w:pPr>
        <w:pStyle w:val="Body"/>
      </w:pPr>
      <w:r>
        <w:rPr>
          <w:rtl w:val="0"/>
          <w:lang w:val="en-US"/>
        </w:rPr>
        <w:t>Online, Asynchronous</w:t>
      </w:r>
    </w:p>
    <w:p>
      <w:pPr>
        <w:pStyle w:val="Body"/>
      </w:pPr>
    </w:p>
    <w:p>
      <w:pPr>
        <w:pStyle w:val="Heading"/>
      </w:pPr>
      <w:r>
        <w:rPr>
          <w:rtl w:val="0"/>
          <w:lang w:val="en-US"/>
        </w:rPr>
        <w:t xml:space="preserve">9. CATALOG DESCRIPTION: </w:t>
      </w:r>
    </w:p>
    <w:p>
      <w:pPr>
        <w:pStyle w:val="Body"/>
      </w:pPr>
      <w:r>
        <w:rPr>
          <w:rFonts w:ascii="Times New Roman" w:hAnsi="Times New Roman"/>
          <w:spacing w:val="-3"/>
          <w:sz w:val="22"/>
          <w:szCs w:val="22"/>
          <w:rtl w:val="0"/>
        </w:rPr>
        <w:t>B</w:t>
      </w:r>
      <w:r>
        <w:rPr>
          <w:rFonts w:ascii="Times New Roman" w:hAnsi="Times New Roman"/>
          <w:color w:val="000000"/>
          <w:sz w:val="22"/>
          <w:szCs w:val="22"/>
          <w:u w:color="000000"/>
          <w:rtl w:val="0"/>
          <w:lang w:val="en-US"/>
        </w:rPr>
        <w:t>road, vendor-independent, networking concepts.</w:t>
      </w:r>
    </w:p>
    <w:p>
      <w:pPr>
        <w:pStyle w:val="Body"/>
      </w:pPr>
    </w:p>
    <w:p>
      <w:pPr>
        <w:pStyle w:val="Heading"/>
        <w:rPr>
          <w:color w:val="2f5496"/>
          <w:u w:color="2f5496"/>
        </w:rPr>
      </w:pPr>
      <w:r>
        <w:rPr>
          <w:color w:val="000000"/>
          <w:u w:color="000000"/>
          <w:rtl w:val="0"/>
          <w:lang w:val="en-US"/>
        </w:rPr>
        <w:t>10. PREREQUISITE</w:t>
      </w:r>
      <w:r>
        <w:rPr>
          <w:color w:val="2f5496"/>
          <w:u w:color="2f5496"/>
          <w:rtl w:val="0"/>
        </w:rPr>
        <w:t>:</w:t>
      </w:r>
    </w:p>
    <w:p>
      <w:pPr>
        <w:pStyle w:val="Body"/>
      </w:pPr>
      <w:r>
        <w:rPr>
          <w:rtl w:val="0"/>
          <w:lang w:val="it-IT"/>
        </w:rPr>
        <w:t>COSC 2311</w:t>
      </w:r>
    </w:p>
    <w:p>
      <w:pPr>
        <w:pStyle w:val="Heading"/>
      </w:pPr>
      <w:r>
        <w:rPr>
          <w:rtl w:val="0"/>
          <w:lang w:val="en-US"/>
        </w:rPr>
        <w:t xml:space="preserve">11. REQUIRED TEXTBOOK AND RESOURCE MATERIAL: </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64"/>
        <w:gridCol w:w="1145"/>
        <w:gridCol w:w="635"/>
        <w:gridCol w:w="729"/>
        <w:gridCol w:w="1676"/>
        <w:gridCol w:w="2005"/>
        <w:gridCol w:w="1306"/>
      </w:tblGrid>
      <w:tr>
        <w:tblPrEx>
          <w:shd w:val="clear" w:color="auto" w:fill="d0ddef"/>
        </w:tblPrEx>
        <w:trPr>
          <w:trHeight w:val="504" w:hRule="atLeast"/>
        </w:trPr>
        <w:tc>
          <w:tcPr>
            <w:tcW w:type="dxa" w:w="18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b w:val="1"/>
                <w:bCs w:val="1"/>
                <w:sz w:val="22"/>
                <w:szCs w:val="22"/>
                <w:rtl w:val="0"/>
                <w:lang w:val="en-US"/>
              </w:rPr>
              <w:t>BOOK</w:t>
            </w:r>
          </w:p>
        </w:tc>
        <w:tc>
          <w:tcPr>
            <w:tcW w:type="dxa" w:w="11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sz w:val="22"/>
                <w:szCs w:val="22"/>
                <w:rtl w:val="0"/>
                <w:lang w:val="en-US"/>
              </w:rPr>
              <w:t>AUTHOR</w:t>
            </w:r>
          </w:p>
        </w:tc>
        <w:tc>
          <w:tcPr>
            <w:tcW w:type="dxa" w:w="6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sz w:val="22"/>
                <w:szCs w:val="22"/>
                <w:rtl w:val="0"/>
                <w:lang w:val="en-US"/>
              </w:rPr>
              <w:t>ED</w:t>
            </w:r>
          </w:p>
        </w:tc>
        <w:tc>
          <w:tcPr>
            <w:tcW w:type="dxa" w:w="7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sz w:val="22"/>
                <w:szCs w:val="22"/>
                <w:rtl w:val="0"/>
                <w:lang w:val="en-US"/>
              </w:rPr>
              <w:t>YEAR</w:t>
            </w:r>
          </w:p>
        </w:tc>
        <w:tc>
          <w:tcPr>
            <w:tcW w:type="dxa" w:w="16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sz w:val="22"/>
                <w:szCs w:val="22"/>
                <w:rtl w:val="0"/>
                <w:lang w:val="en-US"/>
              </w:rPr>
              <w:t>PUBLISHER</w:t>
            </w:r>
          </w:p>
        </w:tc>
        <w:tc>
          <w:tcPr>
            <w:tcW w:type="dxa" w:w="2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sz w:val="22"/>
                <w:szCs w:val="22"/>
                <w:rtl w:val="0"/>
                <w:lang w:val="en-US"/>
              </w:rPr>
              <w:t>ISBN#</w:t>
            </w:r>
          </w:p>
        </w:tc>
        <w:tc>
          <w:tcPr>
            <w:tcW w:type="dxa" w:w="13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sz w:val="22"/>
                <w:szCs w:val="22"/>
                <w:rtl w:val="0"/>
                <w:lang w:val="en-US"/>
              </w:rPr>
              <w:t>UPDATED</w:t>
            </w:r>
          </w:p>
        </w:tc>
      </w:tr>
      <w:tr>
        <w:tblPrEx>
          <w:shd w:val="clear" w:color="auto" w:fill="d0ddef"/>
        </w:tblPrEx>
        <w:trPr>
          <w:trHeight w:val="463" w:hRule="atLeast"/>
        </w:trPr>
        <w:tc>
          <w:tcPr>
            <w:tcW w:type="dxa" w:w="18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z w:val="20"/>
                <w:szCs w:val="20"/>
                <w:rtl w:val="0"/>
                <w:lang w:val="en-US"/>
              </w:rPr>
              <w:t xml:space="preserve">Network Pro (2012)  (Access Code) </w:t>
            </w:r>
          </w:p>
        </w:tc>
        <w:tc>
          <w:tcPr>
            <w:tcW w:type="dxa" w:w="11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z w:val="20"/>
                <w:szCs w:val="20"/>
                <w:rtl w:val="0"/>
                <w:lang w:val="en-US"/>
              </w:rPr>
              <w:t>TestOut</w:t>
            </w:r>
          </w:p>
        </w:tc>
        <w:tc>
          <w:tcPr>
            <w:tcW w:type="dxa" w:w="6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z w:val="20"/>
                <w:szCs w:val="20"/>
                <w:rtl w:val="0"/>
                <w:lang w:val="en-US"/>
              </w:rPr>
              <w:t>5th</w:t>
            </w:r>
          </w:p>
        </w:tc>
        <w:tc>
          <w:tcPr>
            <w:tcW w:type="dxa" w:w="7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z w:val="20"/>
                <w:szCs w:val="20"/>
                <w:rtl w:val="0"/>
                <w:lang w:val="en-US"/>
              </w:rPr>
              <w:t>2012</w:t>
            </w:r>
          </w:p>
        </w:tc>
        <w:tc>
          <w:tcPr>
            <w:tcW w:type="dxa" w:w="16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z w:val="20"/>
                <w:szCs w:val="20"/>
                <w:rtl w:val="0"/>
                <w:lang w:val="en-US"/>
              </w:rPr>
              <w:t>TestOut</w:t>
            </w:r>
          </w:p>
        </w:tc>
        <w:tc>
          <w:tcPr>
            <w:tcW w:type="dxa" w:w="2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z w:val="20"/>
                <w:szCs w:val="20"/>
                <w:rtl w:val="0"/>
                <w:lang w:val="en-US"/>
              </w:rPr>
              <w:t>9781-93508-0435</w:t>
            </w:r>
          </w:p>
        </w:tc>
        <w:tc>
          <w:tcPr>
            <w:tcW w:type="dxa" w:w="13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z w:val="20"/>
                <w:szCs w:val="20"/>
                <w:rtl w:val="0"/>
                <w:lang w:val="en-US"/>
              </w:rPr>
              <w:t>5/24/16</w:t>
            </w:r>
          </w:p>
        </w:tc>
      </w:tr>
    </w:tbl>
    <w:p>
      <w:pPr>
        <w:pStyle w:val="Heading"/>
        <w:widowControl w:val="0"/>
        <w:spacing w:line="240" w:lineRule="auto"/>
        <w:jc w:val="center"/>
      </w:pPr>
    </w:p>
    <w:p>
      <w:pPr>
        <w:pStyle w:val="Body"/>
      </w:pPr>
    </w:p>
    <w:p>
      <w:pPr>
        <w:pStyle w:val="Heading"/>
      </w:pPr>
      <w:r>
        <w:rPr>
          <w:rtl w:val="0"/>
        </w:rPr>
        <w:t>12. OPTIONAL MATERIALS</w:t>
      </w:r>
    </w:p>
    <w:p>
      <w:pPr>
        <w:pStyle w:val="Heading"/>
      </w:pPr>
    </w:p>
    <w:p>
      <w:pPr>
        <w:pStyle w:val="Heading"/>
      </w:pPr>
      <w:r>
        <w:rPr>
          <w:rtl w:val="0"/>
          <w:lang w:val="en-US"/>
        </w:rPr>
        <w:t>13. COURSE OUTCOMES AND COMPETENCIES:</w:t>
      </w:r>
    </w:p>
    <w:p>
      <w:pPr>
        <w:pStyle w:val="List Paragraph"/>
        <w:numPr>
          <w:ilvl w:val="0"/>
          <w:numId w:val="2"/>
        </w:numPr>
        <w:rPr>
          <w:lang w:val="en-US"/>
        </w:rPr>
      </w:pPr>
      <w:r>
        <w:rPr>
          <w:rtl w:val="0"/>
          <w:lang w:val="en-US"/>
        </w:rPr>
        <w:t>Demonstrate an understanding of the fundamental principles of electronic communications.</w:t>
      </w:r>
    </w:p>
    <w:p>
      <w:pPr>
        <w:pStyle w:val="List Paragraph"/>
        <w:numPr>
          <w:ilvl w:val="0"/>
          <w:numId w:val="2"/>
        </w:numPr>
        <w:rPr>
          <w:lang w:val="en-US"/>
        </w:rPr>
      </w:pPr>
      <w:r>
        <w:rPr>
          <w:rtl w:val="0"/>
          <w:lang w:val="en-US"/>
        </w:rPr>
        <w:t>Demonstrate an understanding of the various protocols used in data communications</w:t>
      </w:r>
    </w:p>
    <w:p>
      <w:pPr>
        <w:pStyle w:val="List Paragraph"/>
        <w:numPr>
          <w:ilvl w:val="0"/>
          <w:numId w:val="2"/>
        </w:numPr>
        <w:rPr>
          <w:lang w:val="en-US"/>
        </w:rPr>
      </w:pPr>
      <w:r>
        <w:rPr>
          <w:rtl w:val="0"/>
          <w:lang w:val="en-US"/>
        </w:rPr>
        <w:t>Demonstrate an understanding of the differences between various communication media.</w:t>
      </w:r>
    </w:p>
    <w:p>
      <w:pPr>
        <w:pStyle w:val="List Paragraph"/>
        <w:numPr>
          <w:ilvl w:val="0"/>
          <w:numId w:val="2"/>
        </w:numPr>
        <w:rPr>
          <w:lang w:val="en-US"/>
        </w:rPr>
      </w:pPr>
      <w:r>
        <w:rPr>
          <w:rtl w:val="0"/>
          <w:lang w:val="en-US"/>
        </w:rPr>
        <w:t>Demonstrate an understanding of the relative advantages and disadvantages of communication media.</w:t>
      </w:r>
    </w:p>
    <w:p>
      <w:pPr>
        <w:pStyle w:val="List Paragraph"/>
        <w:numPr>
          <w:ilvl w:val="0"/>
          <w:numId w:val="2"/>
        </w:numPr>
        <w:rPr>
          <w:lang w:val="en-US"/>
        </w:rPr>
      </w:pPr>
      <w:r>
        <w:rPr>
          <w:rtl w:val="0"/>
          <w:lang w:val="en-US"/>
        </w:rPr>
        <w:t>Demonstrate an understanding of the different communication and networking models.</w:t>
      </w:r>
    </w:p>
    <w:p>
      <w:pPr>
        <w:pStyle w:val="List Paragraph"/>
        <w:numPr>
          <w:ilvl w:val="0"/>
          <w:numId w:val="2"/>
        </w:numPr>
        <w:rPr>
          <w:lang w:val="en-US"/>
        </w:rPr>
      </w:pPr>
      <w:r>
        <w:rPr>
          <w:rtl w:val="0"/>
          <w:lang w:val="en-US"/>
        </w:rPr>
        <w:t>Set up and maintain network systems</w:t>
      </w:r>
    </w:p>
    <w:p>
      <w:pPr>
        <w:pStyle w:val="Heading"/>
        <w:rPr>
          <w:rFonts w:ascii="Times New Roman" w:cs="Times New Roman" w:hAnsi="Times New Roman" w:eastAsia="Times New Roman"/>
          <w:sz w:val="22"/>
          <w:szCs w:val="22"/>
        </w:rPr>
      </w:pPr>
    </w:p>
    <w:p>
      <w:pPr>
        <w:pStyle w:val="Heading"/>
      </w:pPr>
      <w:r>
        <w:rPr>
          <w:rtl w:val="0"/>
          <w:lang w:val="en-US"/>
        </w:rPr>
        <w:t>14. ATTENDANCE REQUIREMENTS:</w:t>
      </w:r>
    </w:p>
    <w:p>
      <w:pPr>
        <w:pStyle w:val="Body"/>
      </w:pPr>
      <w:r>
        <w:rPr>
          <w:rtl w:val="0"/>
          <w:lang w:val="en-US"/>
        </w:rPr>
        <w:t>As stated in the Wayland Catalog, students enrolled at one of the University</w:t>
      </w:r>
      <w:r>
        <w:rPr>
          <w:rtl w:val="0"/>
        </w:rPr>
        <w:t>’</w:t>
      </w:r>
      <w:r>
        <w:rPr>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tl w:val="0"/>
          <w:lang w:val="en-US"/>
        </w:rPr>
        <w:t>s attendance policy.</w:t>
      </w:r>
    </w:p>
    <w:p>
      <w:pPr>
        <w:pStyle w:val="Heading"/>
      </w:pPr>
      <w:r>
        <w:rPr>
          <w:rtl w:val="0"/>
          <w:lang w:val="en-US"/>
        </w:rPr>
        <w:t>15. STATEMENT ON PLAGIARISM &amp; ACADEMIC DISHONESTY:</w:t>
      </w:r>
    </w:p>
    <w:p>
      <w:pPr>
        <w:pStyle w:val="Body"/>
      </w:pPr>
      <w:r>
        <w:rP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tl w:val="0"/>
          <w:lang w:val="en-US"/>
        </w:rPr>
        <w:t>16. DISABILITY STATEMENT:</w:t>
      </w:r>
    </w:p>
    <w:p>
      <w:pPr>
        <w:pStyle w:val="Body"/>
      </w:pPr>
      <w:r>
        <w:rPr>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w:pPr>
    </w:p>
    <w:p>
      <w:pPr>
        <w:pStyle w:val="Heading"/>
      </w:pPr>
      <w:r>
        <w:rPr>
          <w:rtl w:val="0"/>
          <w:lang w:val="en-US"/>
        </w:rPr>
        <w:t>17. COURSE REQUIREMENTS and GRADING CRITERIA:</w:t>
      </w:r>
    </w:p>
    <w:p>
      <w:pPr>
        <w:pStyle w:val="Normal (Web)"/>
        <w:spacing w:before="0" w:after="0"/>
        <w:rPr>
          <w:rFonts w:ascii="Calibri" w:cs="Calibri" w:hAnsi="Calibri" w:eastAsia="Calibri"/>
          <w:sz w:val="22"/>
          <w:szCs w:val="22"/>
        </w:rPr>
      </w:pPr>
      <w:r>
        <w:rPr>
          <w:rFonts w:ascii="Calibri" w:cs="Calibri" w:hAnsi="Calibri" w:eastAsia="Calibri"/>
          <w:sz w:val="22"/>
          <w:szCs w:val="22"/>
          <w:rtl w:val="0"/>
          <w:lang w:val="en-US"/>
        </w:rPr>
        <w:t>Students are required to complete the assigned chapters in the TestOut LabSim, the assignments account for the equivalent of the students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reading assignment for each week of the course and account for twenty percent of the students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overall grade. </w:t>
      </w:r>
    </w:p>
    <w:p>
      <w:pPr>
        <w:pStyle w:val="Normal (Web)"/>
        <w:spacing w:before="0" w:after="0"/>
        <w:rPr>
          <w:rFonts w:ascii="Calibri" w:cs="Calibri" w:hAnsi="Calibri" w:eastAsia="Calibri"/>
          <w:sz w:val="22"/>
          <w:szCs w:val="22"/>
        </w:rPr>
      </w:pPr>
    </w:p>
    <w:p>
      <w:pPr>
        <w:pStyle w:val="Normal (Web)"/>
        <w:spacing w:before="0" w:after="0"/>
        <w:rPr>
          <w:rFonts w:ascii="Calibri" w:cs="Calibri" w:hAnsi="Calibri" w:eastAsia="Calibri"/>
          <w:sz w:val="22"/>
          <w:szCs w:val="22"/>
        </w:rPr>
      </w:pPr>
      <w:r>
        <w:rPr>
          <w:rFonts w:ascii="Calibri" w:cs="Calibri" w:hAnsi="Calibri" w:eastAsia="Calibri"/>
          <w:sz w:val="22"/>
          <w:szCs w:val="22"/>
          <w:rtl w:val="0"/>
          <w:lang w:val="en-US"/>
        </w:rPr>
        <w:t>Students are required to take 11 examinations during the course, ten of these examinations are referred to as Critical Thinking and cover the TestOut LabSim material covered for the given week of the course, these exams account for fifty percent of the students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overall grade. One examination is the TestOut Pro exam and is the equivalent of the final examination for the course, this exam can provide the student with up to one hundred points. Students are awarded a percentage of the one hundred points in accordance with their score on the final Exam.</w:t>
      </w:r>
    </w:p>
    <w:p>
      <w:pPr>
        <w:pStyle w:val="Normal (Web)"/>
        <w:spacing w:before="0" w:after="0"/>
        <w:rPr>
          <w:rFonts w:ascii="Calibri" w:cs="Calibri" w:hAnsi="Calibri" w:eastAsia="Calibri"/>
          <w:sz w:val="22"/>
          <w:szCs w:val="22"/>
        </w:rPr>
      </w:pPr>
    </w:p>
    <w:p>
      <w:pPr>
        <w:pStyle w:val="Normal (Web)"/>
        <w:spacing w:before="0" w:after="0"/>
        <w:rPr>
          <w:rFonts w:ascii="Calibri" w:cs="Calibri" w:hAnsi="Calibri" w:eastAsia="Calibri"/>
          <w:sz w:val="22"/>
          <w:szCs w:val="22"/>
        </w:rPr>
      </w:pPr>
      <w:r>
        <w:rPr>
          <w:rFonts w:ascii="Calibri" w:cs="Calibri" w:hAnsi="Calibri" w:eastAsia="Calibri"/>
          <w:sz w:val="22"/>
          <w:szCs w:val="22"/>
          <w:rtl w:val="0"/>
          <w:lang w:val="en-US"/>
        </w:rPr>
        <w:t>Students are assigned ten discussion board assignments throughout the eleven weeks, each discussion board assignment is worth thirty points and accounts for thirty percent of the students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overall grade.</w:t>
      </w:r>
    </w:p>
    <w:p>
      <w:pPr>
        <w:pStyle w:val="Body"/>
        <w:rPr>
          <w:sz w:val="22"/>
          <w:szCs w:val="22"/>
        </w:rPr>
      </w:pPr>
    </w:p>
    <w:p>
      <w:pPr>
        <w:pStyle w:val="Body"/>
      </w:pPr>
      <w:r>
        <w:rPr>
          <w:rFonts w:ascii="Calibri" w:cs="Calibri" w:hAnsi="Calibri" w:eastAsia="Calibri"/>
          <w:b w:val="1"/>
          <w:bCs w:val="1"/>
          <w:rtl w:val="0"/>
          <w:lang w:val="en-US"/>
        </w:rPr>
        <w:t>17.1 Include Grade Appeal Statement:</w:t>
      </w:r>
      <w:r>
        <w:rPr>
          <w:rtl w:val="0"/>
        </w:rPr>
        <w:t xml:space="preserve"> “</w:t>
      </w:r>
      <w:r>
        <w:rPr>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w:pPr>
    </w:p>
    <w:p>
      <w:pPr>
        <w:pStyle w:val="Heading"/>
      </w:pPr>
    </w:p>
    <w:p>
      <w:pPr>
        <w:pStyle w:val="Heading"/>
      </w:pPr>
      <w:r>
        <w:rPr>
          <w:rtl w:val="0"/>
          <w:lang w:val="de-DE"/>
        </w:rPr>
        <w:t>18. TENTATIVE SCHEDULE</w:t>
      </w:r>
    </w:p>
    <w:p>
      <w:pPr>
        <w:pStyle w:val="Body"/>
      </w:pPr>
    </w:p>
    <w:p>
      <w:pPr>
        <w:pStyle w:val="Body"/>
        <w:bidi w:val="0"/>
        <w:spacing w:after="0" w:line="240" w:lineRule="auto"/>
        <w:ind w:left="0" w:right="0" w:firstLine="0"/>
        <w:jc w:val="left"/>
        <w:rPr>
          <w:rFonts w:ascii="Helvetica Neue" w:cs="Helvetica Neue" w:hAnsi="Helvetica Neue" w:eastAsia="Helvetica Neue"/>
          <w:sz w:val="22"/>
          <w:szCs w:val="22"/>
          <w:rtl w:val="0"/>
        </w:rPr>
      </w:pPr>
    </w:p>
    <w:p>
      <w:pPr>
        <w:pStyle w:val="Body"/>
        <w:bidi w:val="0"/>
        <w:spacing w:after="0" w:line="240" w:lineRule="auto"/>
        <w:ind w:left="0" w:right="0" w:firstLine="0"/>
        <w:jc w:val="left"/>
        <w:rPr>
          <w:rFonts w:ascii="Helvetica Neue" w:cs="Helvetica Neue" w:hAnsi="Helvetica Neue" w:eastAsia="Helvetica Neue"/>
          <w:b w:val="1"/>
          <w:bCs w:val="1"/>
          <w:sz w:val="22"/>
          <w:szCs w:val="22"/>
          <w:rtl w:val="0"/>
        </w:rPr>
      </w:pPr>
      <w:r>
        <w:rPr>
          <w:rFonts w:ascii="Helvetica Neue" w:hAnsi="Helvetica Neue"/>
          <w:b w:val="1"/>
          <w:bCs w:val="1"/>
          <w:sz w:val="22"/>
          <w:szCs w:val="22"/>
          <w:rtl w:val="0"/>
          <w:lang w:val="en-US"/>
        </w:rPr>
        <w:t>Schedule of Weeks:</w:t>
      </w:r>
    </w:p>
    <w:p>
      <w:pPr>
        <w:pStyle w:val="Body"/>
        <w:bidi w:val="0"/>
        <w:spacing w:after="0" w:line="240" w:lineRule="auto"/>
        <w:ind w:left="0" w:right="0" w:firstLine="0"/>
        <w:jc w:val="left"/>
        <w:rPr>
          <w:rFonts w:ascii="Helvetica Neue" w:cs="Helvetica Neue" w:hAnsi="Helvetica Neue" w:eastAsia="Helvetica Neue"/>
          <w:sz w:val="22"/>
          <w:szCs w:val="22"/>
          <w:rtl w:val="0"/>
        </w:rPr>
      </w:pP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 xml:space="preserve">Week 1 = Chapters 0,1 </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Week 2 = Chapters 2, 3</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Week 3 = Chapter 4, Chapter 5</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Week 4 = Chapter 5</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Week 5 = Chapters 6 ,7</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Week 6 = Chapters 8, 9</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Week 7 = Chapters 10, 11</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Week 8 = Chapters 12, 13</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Week 9 = Chapters 14,15</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Week 10 = Chapter 16 and </w:t>
      </w:r>
      <w:r>
        <w:rPr>
          <w:rFonts w:ascii="Helvetica" w:hAnsi="Helvetica"/>
          <w:sz w:val="26"/>
          <w:szCs w:val="26"/>
          <w:rtl w:val="0"/>
          <w:lang w:val="en-US"/>
        </w:rPr>
        <w:t>P</w:t>
      </w:r>
      <w:r>
        <w:rPr>
          <w:rFonts w:ascii="Helvetica" w:hAnsi="Helvetica"/>
          <w:sz w:val="26"/>
          <w:szCs w:val="26"/>
          <w:rtl w:val="0"/>
          <w:lang w:val="en-US"/>
        </w:rPr>
        <w:t xml:space="preserve">ractice </w:t>
      </w:r>
      <w:r>
        <w:rPr>
          <w:rFonts w:ascii="Helvetica" w:hAnsi="Helvetica"/>
          <w:sz w:val="26"/>
          <w:szCs w:val="26"/>
          <w:rtl w:val="0"/>
          <w:lang w:val="en-US"/>
        </w:rPr>
        <w:t>E</w:t>
      </w:r>
      <w:r>
        <w:rPr>
          <w:rFonts w:ascii="Helvetica" w:hAnsi="Helvetica"/>
          <w:sz w:val="26"/>
          <w:szCs w:val="26"/>
          <w:rtl w:val="0"/>
          <w:lang w:val="en-US"/>
        </w:rPr>
        <w:t>xam</w:t>
      </w:r>
      <w:r>
        <w:rPr>
          <w:rFonts w:ascii="Helvetica" w:hAnsi="Helvetica"/>
          <w:sz w:val="26"/>
          <w:szCs w:val="26"/>
          <w:rtl w:val="0"/>
          <w:lang w:val="en-US"/>
        </w:rPr>
        <w:t xml:space="preserve"> A</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Week 11 = Net</w:t>
      </w:r>
      <w:r>
        <mc:AlternateContent>
          <mc:Choice Requires="wps">
            <w:drawing>
              <wp:anchor distT="152400" distB="152400" distL="152400" distR="152400" simplePos="0" relativeHeight="251659264" behindDoc="0" locked="0" layoutInCell="1" allowOverlap="1">
                <wp:simplePos x="0" y="0"/>
                <wp:positionH relativeFrom="page">
                  <wp:posOffset>833119</wp:posOffset>
                </wp:positionH>
                <wp:positionV relativeFrom="page">
                  <wp:posOffset>783907</wp:posOffset>
                </wp:positionV>
                <wp:extent cx="5940425" cy="139382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40425" cy="1393825"/>
                        </a:xfrm>
                        <a:prstGeom prst="rect">
                          <a:avLst/>
                        </a:prstGeom>
                      </wps:spPr>
                      <wps:txbx>
                        <w:txbxContent>
                          <w:tbl>
                            <w:tblPr>
                              <w:tblW w:w="935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Assignments each Week</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Points</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Testout Labsim Chapter(s)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Critical Thinking</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50</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Discussion Board</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30</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Total Points per Week</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100</w:t>
                                  </w:r>
                                </w:p>
                              </w:tc>
                            </w:tr>
                          </w:tbl>
                        </w:txbxContent>
                      </wps:txbx>
                      <wps:bodyPr lIns="0" tIns="0" rIns="0" bIns="0">
                        <a:spAutoFit/>
                      </wps:bodyPr>
                    </wps:wsp>
                  </a:graphicData>
                </a:graphic>
              </wp:anchor>
            </w:drawing>
          </mc:Choice>
          <mc:Fallback>
            <w:pict>
              <v:shape id="_x0000_s1026" type="#_x0000_t202" style="visibility:visible;position:absolute;margin-left:65.6pt;margin-top:61.7pt;width:467.8pt;height:109.7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35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Assignments each Week</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Points</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Testout Labsim Chapter(s)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Critical Thinking</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50</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Discussion Board</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30</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Total Points per Week</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100</w:t>
                            </w:r>
                          </w:p>
                        </w:tc>
                      </w:tr>
                    </w:tbl>
                  </w:txbxContent>
                </v:textbox>
                <w10:wrap type="topAndBottom" side="bothSides" anchorx="page" anchory="page"/>
              </v:shape>
            </w:pict>
          </mc:Fallback>
        </mc:AlternateContent>
      </w:r>
      <w:r>
        <w:rPr>
          <w:rFonts w:ascii="Helvetica" w:hAnsi="Helvetica"/>
          <w:sz w:val="26"/>
          <w:szCs w:val="26"/>
          <w:rtl w:val="0"/>
          <w:lang w:val="en-US"/>
        </w:rPr>
        <w:t>work+ Test</w:t>
      </w:r>
      <w:r>
        <w:rPr>
          <w:rFonts w:ascii="Helvetica" w:hAnsi="Helvetica"/>
          <w:sz w:val="26"/>
          <w:szCs w:val="26"/>
          <w:rtl w:val="0"/>
          <w:lang w:val="en-US"/>
        </w:rPr>
        <w:t>O</w:t>
      </w:r>
      <w:r>
        <w:rPr>
          <w:rFonts w:ascii="Helvetica" w:hAnsi="Helvetica"/>
          <w:sz w:val="26"/>
          <w:szCs w:val="26"/>
          <w:rtl w:val="0"/>
          <w:lang w:val="pt-PT"/>
        </w:rPr>
        <w:t>ut Pro exam</w:t>
      </w:r>
    </w:p>
    <w:p>
      <w:pPr>
        <w:pStyle w:val="Body"/>
      </w:pPr>
    </w:p>
    <w:p>
      <w:pPr>
        <w:pStyle w:val="Heading"/>
      </w:pPr>
      <w:r>
        <w:rPr>
          <w:rtl w:val="0"/>
          <w:lang w:val="en-US"/>
        </w:rPr>
        <w:t>19. ADDITIONAL INFORMATION</w:t>
      </w:r>
    </w:p>
    <w:p>
      <w:pPr>
        <w:pStyle w:val="Body"/>
      </w:pPr>
    </w:p>
    <w:p>
      <w:pPr>
        <w:pStyle w:val="Body"/>
      </w:pPr>
      <w:r>
        <w:rPr>
          <w:rtl w:val="0"/>
          <w:lang w:val="en-US"/>
        </w:rPr>
        <w:t>Late work in not accepted in this course without prior consent of the Instructor</w:t>
      </w:r>
      <w:r>
        <w:rPr>
          <w:rtl w:val="0"/>
        </w:rPr>
        <w:t>.</w:t>
      </w:r>
      <w:r>
        <w:rPr>
          <w:rtl w:val="0"/>
          <w:lang w:val="en-US"/>
        </w:rPr>
        <w:t xml:space="preserve"> This consent must be obtained at least twenty four hours prior to the due date of the assignment, unless emergency  circumstance exist.</w:t>
      </w:r>
    </w:p>
    <w:sectPr>
      <w:headerReference w:type="default" r:id="rId5"/>
      <w:footerReference w:type="default" r:id="rId6"/>
      <w:pgSz w:w="12240" w:h="15840" w:orient="portrait"/>
      <w:pgMar w:top="1440" w:right="1440" w:bottom="9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