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C73D5" w:rsidP="00930EB6">
      <w:r>
        <w:t>Summer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C4702D" w:rsidRPr="000233DF"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Pr="00AC4731">
          <w:rPr>
            <w:rStyle w:val="Hyperlink"/>
            <w:rFonts w:asciiTheme="majorHAnsi" w:hAnsiTheme="majorHAnsi" w:cstheme="majorHAnsi"/>
          </w:rPr>
          <w:t>2018-2019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7C73D5"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Recall pertinent administrative and academic information necessary for successful degree completion:  student accounts, textbooks, registration, incompletes, use of </w:t>
      </w:r>
      <w:r w:rsidRPr="000233DF">
        <w:rPr>
          <w:rFonts w:asciiTheme="majorHAnsi" w:hAnsiTheme="majorHAnsi" w:cstheme="majorHAnsi"/>
        </w:rPr>
        <w:lastRenderedPageBreak/>
        <w:t>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0233DF">
        <w:rPr>
          <w:rFonts w:asciiTheme="majorHAnsi" w:eastAsia="Calibri" w:hAnsiTheme="majorHAnsi" w:cstheme="majorHAnsi"/>
          <w:sz w:val="24"/>
          <w:szCs w:val="24"/>
        </w:rPr>
        <w:lastRenderedPageBreak/>
        <w:t>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Default="001C664F" w:rsidP="001C664F">
      <w:pPr>
        <w:ind w:left="720"/>
        <w:jc w:val="both"/>
        <w:rPr>
          <w:rFonts w:asciiTheme="majorHAnsi" w:hAnsiTheme="majorHAnsi" w:cstheme="majorHAnsi"/>
          <w:b/>
        </w:rPr>
      </w:pP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417929" w:rsidRDefault="00FC0BCF" w:rsidP="00930EB6">
      <w:pPr>
        <w:pStyle w:val="Heading1"/>
      </w:pPr>
      <w:r>
        <w:t xml:space="preserve">18.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proofErr w:type="spellStart"/>
            <w:r w:rsidRPr="000233DF">
              <w:rPr>
                <w:rFonts w:asciiTheme="majorHAnsi" w:hAnsiTheme="majorHAnsi" w:cstheme="majorHAnsi"/>
              </w:rPr>
              <w:t>BlackBoard</w:t>
            </w:r>
            <w:proofErr w:type="spellEnd"/>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Mindset Videos, Mindset 7 day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Pr="00AC4731">
                <w:rPr>
                  <w:rStyle w:val="Hyperlink"/>
                  <w:rFonts w:asciiTheme="majorHAnsi" w:hAnsiTheme="majorHAnsi" w:cstheme="majorHAnsi"/>
                </w:rPr>
                <w:t>2018-2019 WBU Academic Catalog link</w:t>
              </w:r>
            </w:hyperlink>
            <w:r>
              <w:rPr>
                <w:rFonts w:asciiTheme="majorHAnsi" w:hAnsiTheme="majorHAnsi" w:cstheme="majorHAnsi"/>
              </w:rPr>
              <w:t xml:space="preserve"> </w:t>
            </w:r>
            <w:r w:rsidRPr="000233DF">
              <w:rPr>
                <w:rFonts w:asciiTheme="majorHAnsi" w:hAnsiTheme="majorHAnsi" w:cstheme="majorHAnsi"/>
              </w:rPr>
              <w:t xml:space="preserve">Online 2018-2019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lastRenderedPageBreak/>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online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A91108" w:rsidRPr="00A91108" w:rsidRDefault="00A91108" w:rsidP="00A91108"/>
    <w:p w:rsidR="00FC0BCF" w:rsidRDefault="00FC0BCF" w:rsidP="00FC0BCF"/>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w:t>
      </w:r>
      <w:r w:rsidRPr="000233DF">
        <w:rPr>
          <w:rFonts w:asciiTheme="majorHAnsi" w:hAnsiTheme="majorHAnsi" w:cstheme="majorHAnsi"/>
          <w:color w:val="000000"/>
        </w:rPr>
        <w:lastRenderedPageBreak/>
        <w:t xml:space="preserve">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lastRenderedPageBreak/>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r>
      <w:bookmarkStart w:id="0" w:name="_GoBack"/>
      <w:bookmarkEnd w:id="0"/>
      <w:r w:rsidRPr="000233DF">
        <w:rPr>
          <w:rFonts w:asciiTheme="majorHAnsi" w:hAnsiTheme="majorHAnsi" w:cstheme="majorHAnsi"/>
        </w:rPr>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C664F"/>
    <w:rsid w:val="0026208D"/>
    <w:rsid w:val="003259E5"/>
    <w:rsid w:val="00417929"/>
    <w:rsid w:val="004B2CBF"/>
    <w:rsid w:val="005776DA"/>
    <w:rsid w:val="006A30F1"/>
    <w:rsid w:val="006C7981"/>
    <w:rsid w:val="007914CE"/>
    <w:rsid w:val="007C39D5"/>
    <w:rsid w:val="007C73D5"/>
    <w:rsid w:val="00930EB6"/>
    <w:rsid w:val="00976BF0"/>
    <w:rsid w:val="009B7A28"/>
    <w:rsid w:val="009F294B"/>
    <w:rsid w:val="00A573CF"/>
    <w:rsid w:val="00A91108"/>
    <w:rsid w:val="00AB306D"/>
    <w:rsid w:val="00C4702D"/>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F9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2019-04-23T14:34:00Z</dcterms:created>
  <dcterms:modified xsi:type="dcterms:W3CDTF">2019-04-23T14:34:00Z</dcterms:modified>
</cp:coreProperties>
</file>