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252710">
        <w:t>MKTG 5305</w:t>
      </w:r>
      <w:r w:rsidR="005A35D0">
        <w:t xml:space="preserve"> </w:t>
      </w:r>
      <w:permStart w:id="832578579" w:edGrp="everyone"/>
      <w:r w:rsidR="004227A2">
        <w:t>&lt;&lt;Section #&gt;&gt;</w:t>
      </w:r>
      <w:permEnd w:id="832578579"/>
      <w:r w:rsidR="00A24A3B">
        <w:t xml:space="preserve"> – </w:t>
      </w:r>
      <w:r w:rsidR="00252710">
        <w:t>Podcast, Blog, and Influencer Analytics</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2077586042" w:edGrp="everyone"/>
      <w:r w:rsidR="006B3B3E">
        <w:t xml:space="preserve">&lt;&lt;Location, or, </w:t>
      </w:r>
      <w:r w:rsidR="004227A2">
        <w:t>WBUonline</w:t>
      </w:r>
      <w:r w:rsidR="006B3B3E">
        <w:t xml:space="preserve"> &gt;&gt;</w:t>
      </w:r>
      <w:permEnd w:id="2077586042"/>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663911219" w:edGrp="everyone"/>
      <w:r w:rsidR="006B3B3E">
        <w:t xml:space="preserve">&lt;&lt;Ex: </w:t>
      </w:r>
      <w:r>
        <w:t>Fall 202</w:t>
      </w:r>
      <w:r w:rsidR="0078676A">
        <w:t>1</w:t>
      </w:r>
      <w:r w:rsidR="006B3B3E">
        <w:t>&gt;&gt;</w:t>
      </w:r>
      <w:permEnd w:id="663911219"/>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902052878" w:edGrp="everyone"/>
      <w:r w:rsidR="006B3B3E">
        <w:t>&lt;&lt;Ex: Dr. John Doe&gt;&gt;</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D4306D">
        <w:t>&lt;&lt;If Applicable&gt;&gt;</w:t>
      </w:r>
    </w:p>
    <w:permEnd w:id="902052878"/>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97479800" w:edGrp="everyone"/>
      <w:r w:rsidR="00D4306D">
        <w:t>&lt;&lt;</w:t>
      </w:r>
      <w:r w:rsidR="00D4306D" w:rsidRPr="00D4306D">
        <w:t xml:space="preserve">the </w:t>
      </w:r>
      <w:r w:rsidR="00D4306D" w:rsidRPr="00D4306D">
        <w:rPr>
          <w:u w:val="single"/>
        </w:rPr>
        <w:t>WBU email address</w:t>
      </w:r>
      <w:r w:rsidR="00D4306D" w:rsidRPr="00D4306D">
        <w:t xml:space="preserve"> to be utilized in this class&gt;&gt;</w:t>
      </w:r>
      <w:permEnd w:id="97479800"/>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991445981" w:edGrp="everyone"/>
      <w:r w:rsidR="00D4306D" w:rsidRPr="00004CA2">
        <w:rPr>
          <w:rFonts w:ascii="Calibri" w:eastAsia="Times New Roman" w:hAnsi="Calibri"/>
        </w:rPr>
        <w:t xml:space="preserve">&lt;&lt;Ex. Office Hours 1-3 p.m. MWF; 2-4 TT; </w:t>
      </w:r>
      <w:r w:rsidR="00AE7841">
        <w:rPr>
          <w:rFonts w:ascii="Calibri" w:eastAsia="Times New Roman" w:hAnsi="Calibri"/>
        </w:rPr>
        <w:t>NBB</w:t>
      </w:r>
      <w:r w:rsidR="00D4306D" w:rsidRPr="00004CA2">
        <w:rPr>
          <w:rFonts w:ascii="Calibri" w:eastAsia="Times New Roman" w:hAnsi="Calibri"/>
        </w:rPr>
        <w:t xml:space="preserve">, Room </w:t>
      </w:r>
      <w:r w:rsidR="00165BC2">
        <w:rPr>
          <w:rFonts w:ascii="Calibri" w:eastAsia="Times New Roman" w:hAnsi="Calibri"/>
        </w:rPr>
        <w:t>113</w:t>
      </w:r>
      <w:r w:rsidR="00D4306D" w:rsidRPr="00004CA2">
        <w:rPr>
          <w:rFonts w:ascii="Calibri" w:eastAsia="Times New Roman" w:hAnsi="Calibri"/>
        </w:rPr>
        <w:t>&gt;&gt;</w:t>
      </w:r>
    </w:p>
    <w:permEnd w:id="1991445981"/>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1094976933" w:edGrp="everyone"/>
      <w:r w:rsidR="00D4306D" w:rsidRPr="00D4306D">
        <w:t xml:space="preserve">&lt;&lt;Ex. Monday 6-9 p.m., </w:t>
      </w:r>
      <w:r w:rsidR="00AE7841">
        <w:t>NBB</w:t>
      </w:r>
      <w:r w:rsidR="00D4306D" w:rsidRPr="00D4306D">
        <w:t xml:space="preserve">, Room </w:t>
      </w:r>
      <w:r w:rsidR="00165BC2">
        <w:t>2</w:t>
      </w:r>
      <w:r w:rsidR="00A754F6">
        <w:t>07</w:t>
      </w:r>
      <w:r w:rsidR="00D4306D" w:rsidRPr="00D4306D">
        <w:t>&gt;&gt;</w:t>
      </w:r>
      <w:permEnd w:id="1094976933"/>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252710" w:rsidRPr="00867383" w:rsidRDefault="00252710" w:rsidP="00252710">
      <w:pPr>
        <w:spacing w:after="0"/>
        <w:rPr>
          <w:rFonts w:ascii="Calibri" w:eastAsia="Calibri" w:hAnsi="Calibri" w:cs="Calibri"/>
          <w:szCs w:val="24"/>
        </w:rPr>
      </w:pPr>
      <w:bookmarkStart w:id="0" w:name="_Hlk208155390"/>
      <w:bookmarkStart w:id="1" w:name="_Hlk211865231"/>
      <w:r>
        <w:rPr>
          <w:rFonts w:ascii="Calibri" w:eastAsia="Calibri" w:hAnsi="Calibri" w:cs="Times New Roman"/>
        </w:rPr>
        <w:t>E</w:t>
      </w:r>
      <w:r w:rsidRPr="00867383">
        <w:rPr>
          <w:rFonts w:ascii="Calibri" w:eastAsia="Calibri" w:hAnsi="Calibri" w:cs="Times New Roman"/>
        </w:rPr>
        <w:t>xamine</w:t>
      </w:r>
      <w:r>
        <w:rPr>
          <w:rFonts w:ascii="Calibri" w:eastAsia="Calibri" w:hAnsi="Calibri" w:cs="Times New Roman"/>
        </w:rPr>
        <w:t>s</w:t>
      </w:r>
      <w:r w:rsidRPr="00867383">
        <w:rPr>
          <w:rFonts w:ascii="Calibri" w:eastAsia="Calibri" w:hAnsi="Calibri" w:cs="Times New Roman"/>
        </w:rPr>
        <w:t xml:space="preserve"> analytical tools and strategic frameworks to evaluate the performance and impact of podcasts, blogs, and influencer-driven media in the digital marketing ecosystem. </w:t>
      </w:r>
      <w:r>
        <w:rPr>
          <w:rFonts w:ascii="Calibri" w:eastAsia="Calibri" w:hAnsi="Calibri" w:cs="Times New Roman"/>
        </w:rPr>
        <w:t xml:space="preserve">Analyzes </w:t>
      </w:r>
      <w:r w:rsidRPr="00867383">
        <w:rPr>
          <w:rFonts w:ascii="Calibri" w:eastAsia="Calibri" w:hAnsi="Calibri" w:cs="Times New Roman"/>
        </w:rPr>
        <w:t>data literacy, cross-platform analytics, and return on investment (ROI) measurement</w:t>
      </w:r>
      <w:r>
        <w:rPr>
          <w:rFonts w:ascii="Calibri" w:eastAsia="Calibri" w:hAnsi="Calibri" w:cs="Times New Roman"/>
        </w:rPr>
        <w:t xml:space="preserve"> </w:t>
      </w:r>
      <w:r w:rsidRPr="00867383">
        <w:rPr>
          <w:rFonts w:ascii="Calibri" w:eastAsia="Calibri" w:hAnsi="Calibri" w:cs="Times New Roman"/>
        </w:rPr>
        <w:t>to drive decision-making in brand communications</w:t>
      </w:r>
      <w:r>
        <w:rPr>
          <w:rFonts w:ascii="Calibri" w:eastAsia="Calibri" w:hAnsi="Calibri" w:cs="Times New Roman"/>
        </w:rPr>
        <w:t>. E</w:t>
      </w:r>
      <w:r w:rsidRPr="00867383">
        <w:rPr>
          <w:rFonts w:ascii="Calibri" w:eastAsia="Calibri" w:hAnsi="Calibri" w:cs="Times New Roman"/>
        </w:rPr>
        <w:t>xplores predictive analytics, influencer identification algorithms, platform-specific KPIs, and emerging technologies such as AI in content performance tracking.</w:t>
      </w:r>
      <w:bookmarkEnd w:id="0"/>
      <w:r w:rsidRPr="00867383">
        <w:rPr>
          <w:rFonts w:ascii="Calibri" w:eastAsia="Calibri" w:hAnsi="Calibri" w:cs="Times New Roman"/>
        </w:rPr>
        <w:t xml:space="preserve"> </w:t>
      </w:r>
    </w:p>
    <w:bookmarkEnd w:id="1"/>
    <w:p w:rsidR="00252710" w:rsidRDefault="00252710" w:rsidP="00F533AF">
      <w:pPr>
        <w:pStyle w:val="SyllabiBasic"/>
        <w:spacing w:after="0"/>
        <w:rPr>
          <w:b/>
        </w:rPr>
      </w:pPr>
    </w:p>
    <w:p w:rsidR="00F533AF" w:rsidRDefault="00F533AF" w:rsidP="00F533AF">
      <w:pPr>
        <w:pStyle w:val="SyllabiBasic"/>
        <w:spacing w:after="0"/>
        <w:rPr>
          <w:b/>
        </w:rPr>
      </w:pPr>
      <w:r w:rsidRPr="0025389A">
        <w:rPr>
          <w:b/>
        </w:rPr>
        <w:t xml:space="preserve">Prerequisite: </w:t>
      </w:r>
      <w:r w:rsidR="00252710" w:rsidRPr="00252710">
        <w:t>None</w:t>
      </w:r>
    </w:p>
    <w:p w:rsidR="00E624B9" w:rsidRPr="00E624B9" w:rsidRDefault="00E624B9" w:rsidP="000C2431">
      <w:pPr>
        <w:pStyle w:val="SyllabiHeading"/>
        <w:rPr>
          <w:b/>
        </w:rPr>
      </w:pPr>
      <w:r w:rsidRPr="00E624B9">
        <w:rPr>
          <w:b/>
        </w:rPr>
        <w:t>Textbook Information</w:t>
      </w:r>
    </w:p>
    <w:p w:rsidR="00E624B9" w:rsidRPr="00E624B9" w:rsidRDefault="00E624B9" w:rsidP="000C2431">
      <w:pPr>
        <w:pStyle w:val="SyllabiBasic"/>
        <w:rPr>
          <w:b/>
          <w:vanish/>
          <w:specVanish/>
        </w:rPr>
      </w:pPr>
      <w:r w:rsidRPr="00E624B9">
        <w:rPr>
          <w:b/>
        </w:rPr>
        <w:t>Required Textbook(s) and/or Required Materials</w:t>
      </w:r>
    </w:p>
    <w:p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53"/>
        <w:gridCol w:w="1080"/>
        <w:gridCol w:w="628"/>
        <w:gridCol w:w="810"/>
        <w:gridCol w:w="1261"/>
        <w:gridCol w:w="2045"/>
      </w:tblGrid>
      <w:tr w:rsidR="00252710" w:rsidRPr="00867383" w:rsidTr="00E55B8B">
        <w:trPr>
          <w:trHeight w:val="388"/>
          <w:tblHeader/>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rPr>
                <w:rFonts w:ascii="Calibri" w:eastAsia="Calibri" w:hAnsi="Calibri" w:cs="Calibri"/>
                <w:color w:val="000000"/>
                <w:szCs w:val="24"/>
              </w:rPr>
            </w:pPr>
            <w:bookmarkStart w:id="2" w:name="_Hlk208155408"/>
            <w:bookmarkStart w:id="3" w:name="_Hlk141267168"/>
            <w:r w:rsidRPr="00867383">
              <w:rPr>
                <w:rFonts w:ascii="Calibri" w:eastAsia="Calibri" w:hAnsi="Calibri" w:cs="Calibri"/>
                <w:b/>
                <w:bCs/>
                <w:color w:val="000000"/>
                <w:szCs w:val="24"/>
              </w:rPr>
              <w:t>BOOK</w:t>
            </w:r>
          </w:p>
        </w:tc>
        <w:tc>
          <w:tcPr>
            <w:tcW w:w="591"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AUTHOR</w:t>
            </w:r>
          </w:p>
        </w:tc>
        <w:tc>
          <w:tcPr>
            <w:tcW w:w="337"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YEAR</w:t>
            </w:r>
          </w:p>
        </w:tc>
        <w:tc>
          <w:tcPr>
            <w:tcW w:w="693"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PUBLISHER</w:t>
            </w:r>
          </w:p>
        </w:tc>
        <w:tc>
          <w:tcPr>
            <w:tcW w:w="1127"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color w:val="000000"/>
                <w:szCs w:val="24"/>
              </w:rPr>
            </w:pPr>
            <w:r w:rsidRPr="00867383">
              <w:rPr>
                <w:rFonts w:ascii="Calibri" w:eastAsia="Calibri" w:hAnsi="Calibri" w:cs="Calibri"/>
                <w:b/>
                <w:bCs/>
                <w:color w:val="000000"/>
                <w:szCs w:val="24"/>
              </w:rPr>
              <w:t>ISBN#</w:t>
            </w:r>
          </w:p>
        </w:tc>
      </w:tr>
      <w:tr w:rsidR="00252710" w:rsidRPr="00867383" w:rsidTr="00E55B8B">
        <w:trPr>
          <w:trHeight w:val="684"/>
          <w:tblCellSpacing w:w="15" w:type="dxa"/>
          <w:jc w:val="center"/>
        </w:trPr>
        <w:tc>
          <w:tcPr>
            <w:tcW w:w="1694" w:type="pct"/>
            <w:tcBorders>
              <w:top w:val="outset" w:sz="6" w:space="0" w:color="auto"/>
              <w:left w:val="outset" w:sz="6" w:space="0" w:color="auto"/>
              <w:bottom w:val="outset" w:sz="6" w:space="0" w:color="auto"/>
              <w:right w:val="outset" w:sz="6" w:space="0" w:color="auto"/>
            </w:tcBorders>
            <w:vAlign w:val="center"/>
            <w:hideMark/>
          </w:tcPr>
          <w:p w:rsidR="00252710" w:rsidRPr="008F210A" w:rsidRDefault="00252710" w:rsidP="00E55B8B">
            <w:pPr>
              <w:spacing w:after="0"/>
              <w:rPr>
                <w:rFonts w:ascii="Calibri" w:eastAsia="Calibri" w:hAnsi="Calibri" w:cs="Calibri"/>
                <w:bCs/>
                <w:color w:val="000000"/>
                <w:szCs w:val="24"/>
                <w:u w:val="single"/>
              </w:rPr>
            </w:pPr>
            <w:r w:rsidRPr="008F210A">
              <w:rPr>
                <w:rFonts w:ascii="Calibri" w:eastAsia="Calibri" w:hAnsi="Calibri" w:cs="Times New Roman"/>
                <w:iCs/>
                <w:color w:val="000000"/>
                <w:szCs w:val="24"/>
                <w:u w:val="single"/>
              </w:rPr>
              <w:t>Digital Marketing Analytics: Making Sense of Consumer Data in a Digital World</w:t>
            </w:r>
          </w:p>
        </w:tc>
        <w:tc>
          <w:tcPr>
            <w:tcW w:w="591"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bCs/>
                <w:color w:val="000000"/>
                <w:szCs w:val="24"/>
              </w:rPr>
            </w:pPr>
            <w:proofErr w:type="spellStart"/>
            <w:r w:rsidRPr="00867383">
              <w:rPr>
                <w:rFonts w:ascii="Calibri" w:eastAsia="Calibri" w:hAnsi="Calibri" w:cs="Times New Roman"/>
                <w:color w:val="000000"/>
                <w:szCs w:val="24"/>
              </w:rPr>
              <w:t>Hemann</w:t>
            </w:r>
            <w:proofErr w:type="spellEnd"/>
            <w:r w:rsidRPr="00867383">
              <w:rPr>
                <w:rFonts w:ascii="Calibri" w:eastAsia="Calibri" w:hAnsi="Calibri" w:cs="Times New Roman"/>
                <w:color w:val="000000"/>
                <w:szCs w:val="24"/>
              </w:rPr>
              <w:t xml:space="preserve"> &amp; </w:t>
            </w:r>
            <w:proofErr w:type="spellStart"/>
            <w:r w:rsidRPr="00867383">
              <w:rPr>
                <w:rFonts w:ascii="Calibri" w:eastAsia="Calibri" w:hAnsi="Calibri" w:cs="Times New Roman"/>
                <w:color w:val="000000"/>
                <w:szCs w:val="24"/>
              </w:rPr>
              <w:t>Burbary</w:t>
            </w:r>
            <w:proofErr w:type="spellEnd"/>
          </w:p>
        </w:tc>
        <w:tc>
          <w:tcPr>
            <w:tcW w:w="337"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2nd</w:t>
            </w:r>
          </w:p>
        </w:tc>
        <w:tc>
          <w:tcPr>
            <w:tcW w:w="439"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bCs/>
                <w:color w:val="000000"/>
                <w:szCs w:val="24"/>
              </w:rPr>
            </w:pPr>
            <w:r w:rsidRPr="00867383">
              <w:rPr>
                <w:rFonts w:ascii="Calibri" w:eastAsia="Calibri" w:hAnsi="Calibri" w:cs="Calibri"/>
                <w:bCs/>
                <w:color w:val="000000"/>
                <w:szCs w:val="24"/>
              </w:rPr>
              <w:t>2018</w:t>
            </w:r>
          </w:p>
        </w:tc>
        <w:tc>
          <w:tcPr>
            <w:tcW w:w="693"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bCs/>
                <w:color w:val="000000"/>
                <w:szCs w:val="24"/>
              </w:rPr>
            </w:pPr>
            <w:r w:rsidRPr="00867383">
              <w:rPr>
                <w:rFonts w:ascii="Calibri" w:eastAsia="Calibri" w:hAnsi="Calibri" w:cs="Arial"/>
                <w:color w:val="0F1111"/>
                <w:szCs w:val="24"/>
                <w:shd w:val="clear" w:color="auto" w:fill="FFFFFF"/>
              </w:rPr>
              <w:t>Que Publishing</w:t>
            </w:r>
          </w:p>
        </w:tc>
        <w:tc>
          <w:tcPr>
            <w:tcW w:w="1127" w:type="pct"/>
            <w:tcBorders>
              <w:top w:val="outset" w:sz="6" w:space="0" w:color="auto"/>
              <w:left w:val="outset" w:sz="6" w:space="0" w:color="auto"/>
              <w:bottom w:val="outset" w:sz="6" w:space="0" w:color="auto"/>
              <w:right w:val="outset" w:sz="6" w:space="0" w:color="auto"/>
            </w:tcBorders>
            <w:vAlign w:val="center"/>
            <w:hideMark/>
          </w:tcPr>
          <w:p w:rsidR="00252710" w:rsidRPr="00867383" w:rsidRDefault="00252710" w:rsidP="00E55B8B">
            <w:pPr>
              <w:spacing w:after="0"/>
              <w:jc w:val="center"/>
              <w:rPr>
                <w:rFonts w:ascii="Calibri" w:eastAsia="Calibri" w:hAnsi="Calibri" w:cs="Calibri"/>
                <w:bCs/>
                <w:color w:val="000000"/>
                <w:szCs w:val="24"/>
              </w:rPr>
            </w:pPr>
            <w:r w:rsidRPr="00867383">
              <w:rPr>
                <w:rFonts w:ascii="Calibri" w:eastAsia="Calibri" w:hAnsi="Calibri" w:cs="Arial"/>
                <w:color w:val="0F1111"/>
                <w:szCs w:val="24"/>
                <w:shd w:val="clear" w:color="auto" w:fill="FFFFFF"/>
              </w:rPr>
              <w:t>9780</w:t>
            </w:r>
            <w:r w:rsidR="008F210A">
              <w:rPr>
                <w:rFonts w:ascii="Calibri" w:eastAsia="Calibri" w:hAnsi="Calibri" w:cs="Arial"/>
                <w:color w:val="0F1111"/>
                <w:szCs w:val="24"/>
                <w:shd w:val="clear" w:color="auto" w:fill="FFFFFF"/>
              </w:rPr>
              <w:t>-</w:t>
            </w:r>
            <w:r w:rsidRPr="00867383">
              <w:rPr>
                <w:rFonts w:ascii="Calibri" w:eastAsia="Calibri" w:hAnsi="Calibri" w:cs="Arial"/>
                <w:color w:val="0F1111"/>
                <w:szCs w:val="24"/>
                <w:shd w:val="clear" w:color="auto" w:fill="FFFFFF"/>
              </w:rPr>
              <w:t>78975</w:t>
            </w:r>
            <w:r w:rsidR="008F210A">
              <w:rPr>
                <w:rFonts w:ascii="Calibri" w:eastAsia="Calibri" w:hAnsi="Calibri" w:cs="Arial"/>
                <w:color w:val="0F1111"/>
                <w:szCs w:val="24"/>
                <w:shd w:val="clear" w:color="auto" w:fill="FFFFFF"/>
              </w:rPr>
              <w:t>-</w:t>
            </w:r>
            <w:bookmarkStart w:id="4" w:name="_GoBack"/>
            <w:bookmarkEnd w:id="4"/>
            <w:r w:rsidRPr="00867383">
              <w:rPr>
                <w:rFonts w:ascii="Calibri" w:eastAsia="Calibri" w:hAnsi="Calibri" w:cs="Arial"/>
                <w:color w:val="0F1111"/>
                <w:szCs w:val="24"/>
                <w:shd w:val="clear" w:color="auto" w:fill="FFFFFF"/>
              </w:rPr>
              <w:t>9603</w:t>
            </w:r>
          </w:p>
        </w:tc>
      </w:tr>
      <w:bookmarkEnd w:id="2"/>
    </w:tbl>
    <w:p w:rsidR="008E0181" w:rsidRPr="00E252F3" w:rsidRDefault="008E0181" w:rsidP="00392867">
      <w:pPr>
        <w:spacing w:after="200"/>
        <w:rPr>
          <w:iCs/>
          <w:sz w:val="24"/>
          <w:szCs w:val="24"/>
        </w:rPr>
      </w:pPr>
    </w:p>
    <w:p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rsidR="00392867" w:rsidRPr="00317E55" w:rsidRDefault="00392867" w:rsidP="00392867">
      <w:pPr>
        <w:spacing w:after="200"/>
        <w:rPr>
          <w:i/>
          <w:iCs/>
          <w:sz w:val="20"/>
          <w:szCs w:val="20"/>
        </w:rPr>
      </w:pPr>
      <w:r w:rsidRPr="00317E55">
        <w:rPr>
          <w:i/>
          <w:iCs/>
          <w:sz w:val="20"/>
          <w:szCs w:val="20"/>
        </w:rPr>
        <w:lastRenderedPageBreak/>
        <w:t xml:space="preserve"> </w:t>
      </w:r>
    </w:p>
    <w:bookmarkEnd w:id="3"/>
    <w:p w:rsidR="00E624B9" w:rsidRPr="00E624B9" w:rsidRDefault="00E624B9" w:rsidP="000C2431">
      <w:pPr>
        <w:pStyle w:val="SyllabiBasic"/>
        <w:rPr>
          <w:b/>
          <w:vanish/>
          <w:specVanish/>
        </w:rPr>
      </w:pPr>
      <w:permStart w:id="1923355801" w:edGrp="everyone"/>
      <w:r w:rsidRPr="00E624B9">
        <w:rPr>
          <w:b/>
        </w:rPr>
        <w:t>Optional Materials</w:t>
      </w:r>
    </w:p>
    <w:p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923355801"/>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252710" w:rsidRPr="00867383" w:rsidRDefault="00252710" w:rsidP="00252710">
      <w:pPr>
        <w:numPr>
          <w:ilvl w:val="0"/>
          <w:numId w:val="11"/>
        </w:numPr>
        <w:spacing w:after="0"/>
        <w:ind w:left="1080"/>
        <w:rPr>
          <w:rFonts w:ascii="Calibri" w:eastAsia="Calibri" w:hAnsi="Calibri" w:cs="Times New Roman"/>
        </w:rPr>
      </w:pPr>
      <w:bookmarkStart w:id="5" w:name="_Hlk208155429"/>
      <w:bookmarkStart w:id="6" w:name="_Hlk211865269"/>
      <w:r w:rsidRPr="00867383">
        <w:rPr>
          <w:rFonts w:ascii="Calibri" w:eastAsia="Calibri" w:hAnsi="Calibri" w:cs="Times New Roman"/>
        </w:rPr>
        <w:t>Evaluate and compare analytics frameworks across podcasting, blogging, and influencer platforms to assess content impact and audience behavior.</w:t>
      </w:r>
    </w:p>
    <w:p w:rsidR="00252710" w:rsidRPr="00867383" w:rsidRDefault="00252710" w:rsidP="00252710">
      <w:pPr>
        <w:numPr>
          <w:ilvl w:val="0"/>
          <w:numId w:val="11"/>
        </w:numPr>
        <w:spacing w:after="0"/>
        <w:ind w:left="1080"/>
        <w:rPr>
          <w:rFonts w:ascii="Calibri" w:eastAsia="Calibri" w:hAnsi="Calibri" w:cs="Times New Roman"/>
        </w:rPr>
      </w:pPr>
      <w:r w:rsidRPr="00867383">
        <w:rPr>
          <w:rFonts w:ascii="Calibri" w:eastAsia="Calibri" w:hAnsi="Calibri" w:cs="Times New Roman"/>
        </w:rPr>
        <w:t>Design and execute data-informed strategies that optimize content performance and enhance digital campaign ROI.</w:t>
      </w:r>
    </w:p>
    <w:p w:rsidR="00252710" w:rsidRPr="00867383" w:rsidRDefault="00252710" w:rsidP="00252710">
      <w:pPr>
        <w:numPr>
          <w:ilvl w:val="0"/>
          <w:numId w:val="11"/>
        </w:numPr>
        <w:spacing w:after="0"/>
        <w:ind w:left="1080"/>
        <w:rPr>
          <w:rFonts w:ascii="Calibri" w:eastAsia="Calibri" w:hAnsi="Calibri" w:cs="Times New Roman"/>
        </w:rPr>
      </w:pPr>
      <w:r w:rsidRPr="00867383">
        <w:rPr>
          <w:rFonts w:ascii="Calibri" w:eastAsia="Calibri" w:hAnsi="Calibri" w:cs="Times New Roman"/>
        </w:rPr>
        <w:t>Leverage advanced analytical tools (e.g., Google Looker Studio, podcast dashboards, influencer CRM platforms) to synthesize insights and generate marketing intelligence.</w:t>
      </w:r>
    </w:p>
    <w:p w:rsidR="00252710" w:rsidRPr="00867383" w:rsidRDefault="00252710" w:rsidP="00252710">
      <w:pPr>
        <w:numPr>
          <w:ilvl w:val="0"/>
          <w:numId w:val="11"/>
        </w:numPr>
        <w:spacing w:after="0"/>
        <w:ind w:left="1080"/>
        <w:rPr>
          <w:rFonts w:ascii="Calibri" w:eastAsia="Calibri" w:hAnsi="Calibri" w:cs="Times New Roman"/>
        </w:rPr>
      </w:pPr>
      <w:r w:rsidRPr="00867383">
        <w:rPr>
          <w:rFonts w:ascii="Calibri" w:eastAsia="Calibri" w:hAnsi="Calibri" w:cs="Times New Roman"/>
        </w:rPr>
        <w:t>Apply predictive and prescriptive analytics techniques to forecast trends and guide strategic influencer and content planning.</w:t>
      </w:r>
      <w:bookmarkEnd w:id="5"/>
    </w:p>
    <w:bookmarkEnd w:id="6"/>
    <w:p w:rsidR="007D5A2A" w:rsidRDefault="007D5A2A" w:rsidP="000C2431">
      <w:pPr>
        <w:pStyle w:val="SyllabiHeading"/>
        <w:rPr>
          <w:b/>
        </w:rPr>
      </w:pPr>
      <w:r w:rsidRPr="007D5A2A">
        <w:rPr>
          <w:b/>
        </w:rPr>
        <w:t>Attendance Requirements</w:t>
      </w:r>
    </w:p>
    <w:p w:rsidR="007D5A2A" w:rsidRPr="007D5A2A" w:rsidRDefault="007D5A2A" w:rsidP="000C2431">
      <w:pPr>
        <w:rPr>
          <w:b/>
        </w:rPr>
      </w:pPr>
      <w:permStart w:id="1037649639" w:edGrp="everyone"/>
      <w:r w:rsidRPr="007D5A2A">
        <w:rPr>
          <w:b/>
        </w:rPr>
        <w:t>&lt;&lt;</w:t>
      </w:r>
      <w:r w:rsidRPr="007D5A2A">
        <w:t>Select appropriate campus</w:t>
      </w:r>
      <w:r w:rsidR="005A35D0">
        <w:t xml:space="preserve"> and dele</w:t>
      </w:r>
      <w:r w:rsidR="00504648">
        <w:t>te the rest.  Add your class attendance policy b</w:t>
      </w:r>
      <w:r w:rsidR="005A35D0">
        <w:t>elow the appropriate campus poli</w:t>
      </w:r>
      <w:r w:rsidR="00504648">
        <w:t xml:space="preserve">cy.  </w:t>
      </w:r>
      <w:r w:rsidRPr="007D5A2A">
        <w:t>&gt;&gt;</w:t>
      </w:r>
    </w:p>
    <w:p w:rsidR="007D5A2A" w:rsidRPr="007D5A2A" w:rsidRDefault="007D5A2A" w:rsidP="000C2431">
      <w:pPr>
        <w:rPr>
          <w:u w:val="single"/>
        </w:rPr>
      </w:pPr>
    </w:p>
    <w:p w:rsidR="007D5A2A" w:rsidRPr="007D5A2A" w:rsidRDefault="007D5A2A" w:rsidP="000C2431">
      <w:pPr>
        <w:rPr>
          <w:u w:val="single"/>
        </w:rPr>
      </w:pPr>
      <w:r w:rsidRPr="007D5A2A">
        <w:rPr>
          <w:u w:val="single"/>
        </w:rPr>
        <w:t>External Campuses</w:t>
      </w:r>
    </w:p>
    <w:p w:rsidR="007D5A2A" w:rsidRPr="007D5A2A" w:rsidRDefault="007D5A2A" w:rsidP="000C2431">
      <w:r w:rsidRPr="007D5A2A">
        <w:t>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external campus executive director/dean.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Vice President of Academic Affairs.</w:t>
      </w:r>
    </w:p>
    <w:p w:rsidR="007D5A2A" w:rsidRDefault="007D5A2A" w:rsidP="000C2431">
      <w:pPr>
        <w:rPr>
          <w:u w:val="single"/>
        </w:rPr>
      </w:pPr>
    </w:p>
    <w:p w:rsidR="007D5A2A" w:rsidRPr="007D5A2A" w:rsidRDefault="007D5A2A" w:rsidP="000C2431">
      <w:pPr>
        <w:rPr>
          <w:u w:val="single"/>
        </w:rPr>
      </w:pPr>
      <w:r w:rsidRPr="007D5A2A">
        <w:rPr>
          <w:u w:val="single"/>
        </w:rPr>
        <w:t>Plainview Campus</w:t>
      </w:r>
    </w:p>
    <w:p w:rsidR="007D5A2A" w:rsidRPr="007D5A2A" w:rsidRDefault="007D5A2A" w:rsidP="000C2431">
      <w:r w:rsidRPr="007D5A2A">
        <w:t>The university expects students to make class attendance a priority. Faculty members provide students a copy of attendance requirements. These are provided on the first day of class. Students in programs for which an outside agency (such as the Veteran’s Administration) has stricter attendance requirements will be subject to those requirements. In addition, the university registrar will provide each student affected a list of these regulations. The dean of the school must approve part-time and adjunct faculty class attendance requirements prior to syllabi distribution.</w:t>
      </w:r>
    </w:p>
    <w:p w:rsidR="007D5A2A" w:rsidRPr="007D5A2A" w:rsidRDefault="007D5A2A" w:rsidP="000C2431"/>
    <w:p w:rsidR="0029114E"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w:t>
      </w:r>
      <w:r w:rsidRPr="007D5A2A">
        <w:lastRenderedPageBreak/>
        <w:t xml:space="preserve">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37649639"/>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7" w:name="_Hlk141178515"/>
      <w:bookmarkStart w:id="8" w:name="_Hlk141176664"/>
      <w:r>
        <w:rPr>
          <w:b/>
        </w:rPr>
        <w:t>Academic Integrity</w:t>
      </w:r>
    </w:p>
    <w:p w:rsidR="00392867" w:rsidRDefault="00392867" w:rsidP="00392867">
      <w:pPr>
        <w:spacing w:after="200"/>
      </w:pPr>
      <w:r w:rsidRPr="0039378D">
        <w:rPr>
          <w:b/>
        </w:rPr>
        <w:t>:</w:t>
      </w:r>
    </w:p>
    <w:p w:rsidR="00392867" w:rsidRDefault="00497039" w:rsidP="00392867">
      <w:pPr>
        <w:spacing w:after="200"/>
        <w:rPr>
          <w:rStyle w:val="Hyperlink"/>
          <w:spacing w:val="-2"/>
        </w:rPr>
      </w:pPr>
      <w:hyperlink r:id="rId8" w:history="1">
        <w:r w:rsidR="00392867">
          <w:rPr>
            <w:rStyle w:val="Hyperlink"/>
            <w:spacing w:val="-2"/>
          </w:rPr>
          <w:t xml:space="preserve">Link to Statement on Academic Integrity </w:t>
        </w:r>
      </w:hyperlink>
      <w:bookmarkEnd w:id="7"/>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393310686"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8"/>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t>
      </w:r>
      <w:r>
        <w:lastRenderedPageBreak/>
        <w:t xml:space="preserve">will be considered a form of plagiarism and academic dishonesty. </w:t>
      </w:r>
    </w:p>
    <w:permEnd w:id="393310686"/>
    <w:p w:rsidR="004066A3" w:rsidRPr="0039378D" w:rsidRDefault="004066A3" w:rsidP="004066A3">
      <w:pPr>
        <w:spacing w:after="0"/>
      </w:pPr>
    </w:p>
    <w:p w:rsidR="00392867" w:rsidRDefault="00392867" w:rsidP="00392867">
      <w:pPr>
        <w:rPr>
          <w:rFonts w:ascii="Times New Roman" w:hAnsi="Times New Roman" w:cs="Times New Roman"/>
        </w:rPr>
      </w:pPr>
      <w:bookmarkStart w:id="9"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9"/>
    <w:p w:rsidR="004066A3" w:rsidRPr="0039378D" w:rsidRDefault="004066A3" w:rsidP="004066A3">
      <w:pPr>
        <w:spacing w:after="0"/>
      </w:pPr>
      <w:r w:rsidRPr="0039378D">
        <w:rPr>
          <w:rFonts w:ascii="Calibri" w:hAnsi="Calibri"/>
        </w:rPr>
        <w:t xml:space="preserve"> </w:t>
      </w:r>
    </w:p>
    <w:p w:rsidR="005042F5" w:rsidRDefault="005042F5" w:rsidP="000C2431">
      <w:pPr>
        <w:pStyle w:val="SyllabiHeading"/>
        <w:rPr>
          <w:b/>
        </w:rPr>
      </w:pPr>
      <w:bookmarkStart w:id="10" w:name="_Hlk158377611"/>
      <w:r w:rsidRPr="005042F5">
        <w:rPr>
          <w:b/>
        </w:rPr>
        <w:t>Course Requirements and Grading Criteria</w:t>
      </w:r>
    </w:p>
    <w:p w:rsidR="005042F5" w:rsidRPr="005042F5" w:rsidRDefault="005042F5" w:rsidP="000C2431">
      <w:permStart w:id="327515871" w:edGrp="everyone"/>
      <w:r w:rsidRPr="005042F5">
        <w:t>&lt;&lt;Fill in specific requirements of the course including the criteria utilized to assess student performance and the weight of each. A variety of means to evaluate student performance should be used and grading criteria should conform to the grading system in the catalog.&gt;&gt;</w:t>
      </w:r>
    </w:p>
    <w:permEnd w:id="327515871"/>
    <w:p w:rsidR="00FE0EC1" w:rsidRDefault="00FE0EC1" w:rsidP="000C2431">
      <w:pPr>
        <w:pStyle w:val="NormalWeb"/>
        <w:rPr>
          <w:rFonts w:ascii="Calibri" w:hAnsi="Calibri" w:cs="Calibri"/>
          <w:color w:val="000000"/>
          <w:sz w:val="22"/>
          <w:szCs w:val="22"/>
        </w:rPr>
      </w:pPr>
    </w:p>
    <w:bookmarkEnd w:id="10"/>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4732FD" w:rsidRDefault="004732FD" w:rsidP="000C2431">
      <w:permStart w:id="520097125" w:edGrp="everyone"/>
      <w:r w:rsidRPr="004732FD">
        <w:t>&lt;&lt;Calendar, Topics, and Assignments. Instructor should include a schedule indicating the dates the class will meet, topics to be covered, requirements, and approximate date for fulfilling each requirement. This is generally incorporated into the course calendar.&gt;&gt;</w:t>
      </w:r>
    </w:p>
    <w:p w:rsidR="00BB0CDA" w:rsidRDefault="00BB0CDA" w:rsidP="00BB0CDA">
      <w:pPr>
        <w:pStyle w:val="SyllabiHeading"/>
        <w:rPr>
          <w:b/>
        </w:rPr>
      </w:pPr>
      <w:r w:rsidRPr="00703B21">
        <w:rPr>
          <w:b/>
        </w:rPr>
        <w:t xml:space="preserve">Additional Information </w:t>
      </w:r>
    </w:p>
    <w:p w:rsidR="00BB0CDA" w:rsidRDefault="00BB0CDA" w:rsidP="000C2431">
      <w:r>
        <w:t>&lt;&lt;Section can be deleted if not needed&gt;&gt;</w:t>
      </w:r>
      <w:permEnd w:id="520097125"/>
    </w:p>
    <w:p w:rsidR="004732FD" w:rsidRDefault="004732FD" w:rsidP="000C2431"/>
    <w:p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0C5" w:rsidRDefault="00C210C5" w:rsidP="002B1DF6">
      <w:pPr>
        <w:spacing w:after="0"/>
      </w:pPr>
      <w:r>
        <w:separator/>
      </w:r>
    </w:p>
  </w:endnote>
  <w:endnote w:type="continuationSeparator" w:id="0">
    <w:p w:rsidR="00C210C5" w:rsidRDefault="00C210C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0C5" w:rsidRDefault="00C210C5" w:rsidP="002B1DF6">
      <w:pPr>
        <w:spacing w:after="0"/>
      </w:pPr>
      <w:r>
        <w:separator/>
      </w:r>
    </w:p>
  </w:footnote>
  <w:footnote w:type="continuationSeparator" w:id="0">
    <w:p w:rsidR="00C210C5" w:rsidRDefault="00C210C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69530C"/>
    <w:multiLevelType w:val="hybridMultilevel"/>
    <w:tmpl w:val="568255B8"/>
    <w:lvl w:ilvl="0" w:tplc="C8ECA0A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7"/>
  </w:num>
  <w:num w:numId="2">
    <w:abstractNumId w:val="0"/>
  </w:num>
  <w:num w:numId="3">
    <w:abstractNumId w:val="6"/>
  </w:num>
  <w:num w:numId="4">
    <w:abstractNumId w:val="2"/>
  </w:num>
  <w:num w:numId="5">
    <w:abstractNumId w:val="3"/>
  </w:num>
  <w:num w:numId="6">
    <w:abstractNumId w:val="9"/>
  </w:num>
  <w:num w:numId="7">
    <w:abstractNumId w:val="8"/>
  </w:num>
  <w:num w:numId="8">
    <w:abstractNumId w:val="5"/>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fCPz4o8+DKT6ihgU2sZOQcCoaVxYtVYJHRIZh/wbtfMEyoeOXa9OQPHoomtI0OB2k3ZsT3YLRCTEiNibJkv6Q==" w:salt="O2COpRQfNHttGOyWQMkeVQ=="/>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54299"/>
    <w:rsid w:val="00165BC2"/>
    <w:rsid w:val="00182992"/>
    <w:rsid w:val="001A2865"/>
    <w:rsid w:val="001B23C2"/>
    <w:rsid w:val="00201B07"/>
    <w:rsid w:val="0021744E"/>
    <w:rsid w:val="0024508F"/>
    <w:rsid w:val="00252710"/>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E2748"/>
    <w:rsid w:val="003F2B14"/>
    <w:rsid w:val="004066A3"/>
    <w:rsid w:val="004078A1"/>
    <w:rsid w:val="004227A2"/>
    <w:rsid w:val="0044156A"/>
    <w:rsid w:val="00452059"/>
    <w:rsid w:val="004732FD"/>
    <w:rsid w:val="00485DE2"/>
    <w:rsid w:val="00497039"/>
    <w:rsid w:val="00497542"/>
    <w:rsid w:val="004E2C2D"/>
    <w:rsid w:val="004F2DF3"/>
    <w:rsid w:val="00500B47"/>
    <w:rsid w:val="005042F5"/>
    <w:rsid w:val="00504648"/>
    <w:rsid w:val="00504C03"/>
    <w:rsid w:val="005360E4"/>
    <w:rsid w:val="00573FD3"/>
    <w:rsid w:val="0059315D"/>
    <w:rsid w:val="005A35D0"/>
    <w:rsid w:val="005B440E"/>
    <w:rsid w:val="005E6005"/>
    <w:rsid w:val="00605B5F"/>
    <w:rsid w:val="006407DD"/>
    <w:rsid w:val="00654D1F"/>
    <w:rsid w:val="00691DB2"/>
    <w:rsid w:val="006A11CC"/>
    <w:rsid w:val="006A1232"/>
    <w:rsid w:val="006B3B3E"/>
    <w:rsid w:val="006C7AB7"/>
    <w:rsid w:val="006F6429"/>
    <w:rsid w:val="007200FA"/>
    <w:rsid w:val="00723490"/>
    <w:rsid w:val="00731672"/>
    <w:rsid w:val="0077197E"/>
    <w:rsid w:val="00776128"/>
    <w:rsid w:val="00783E12"/>
    <w:rsid w:val="0078676A"/>
    <w:rsid w:val="00794217"/>
    <w:rsid w:val="007A4624"/>
    <w:rsid w:val="007D5A2A"/>
    <w:rsid w:val="0080070D"/>
    <w:rsid w:val="008223A4"/>
    <w:rsid w:val="00835832"/>
    <w:rsid w:val="00887623"/>
    <w:rsid w:val="00892B63"/>
    <w:rsid w:val="008E0181"/>
    <w:rsid w:val="008E4F4D"/>
    <w:rsid w:val="008F210A"/>
    <w:rsid w:val="00902E96"/>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C3FC8"/>
    <w:rsid w:val="00D4306D"/>
    <w:rsid w:val="00D71297"/>
    <w:rsid w:val="00D72497"/>
    <w:rsid w:val="00D73A78"/>
    <w:rsid w:val="00E20352"/>
    <w:rsid w:val="00E208E6"/>
    <w:rsid w:val="00E252F3"/>
    <w:rsid w:val="00E46F18"/>
    <w:rsid w:val="00E53E90"/>
    <w:rsid w:val="00E624B9"/>
    <w:rsid w:val="00E762E4"/>
    <w:rsid w:val="00E8301B"/>
    <w:rsid w:val="00E96CE9"/>
    <w:rsid w:val="00E97627"/>
    <w:rsid w:val="00EB28BA"/>
    <w:rsid w:val="00EB480C"/>
    <w:rsid w:val="00ED358E"/>
    <w:rsid w:val="00ED3BCE"/>
    <w:rsid w:val="00F21DE3"/>
    <w:rsid w:val="00F502E3"/>
    <w:rsid w:val="00F533AF"/>
    <w:rsid w:val="00F53E47"/>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23DB093"/>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5F9A-4A6B-4168-9239-C72B77FD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9387</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Debbie Lane</cp:lastModifiedBy>
  <cp:revision>2</cp:revision>
  <cp:lastPrinted>2024-02-09T19:42:00Z</cp:lastPrinted>
  <dcterms:created xsi:type="dcterms:W3CDTF">2025-10-21T19:12:00Z</dcterms:created>
  <dcterms:modified xsi:type="dcterms:W3CDTF">2025-10-21T19:12:00Z</dcterms:modified>
</cp:coreProperties>
</file>