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96" w:rsidRDefault="00BD6196" w:rsidP="000C2431">
      <w:pPr>
        <w:pStyle w:val="SyllabiHeading"/>
        <w:rPr>
          <w:rStyle w:val="SyllabiHeadingChar"/>
          <w:b/>
        </w:rPr>
        <w:sectPr w:rsidR="00BD6196" w:rsidSect="00BD619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62A61">
        <w:t xml:space="preserve"> PSYC 4310</w:t>
      </w:r>
      <w:r w:rsidR="004227A2">
        <w:t xml:space="preserve"> </w:t>
      </w:r>
      <w:permStart w:id="1027894744" w:edGrp="everyone"/>
      <w:r w:rsidR="00264B6B">
        <w:t>&lt;&lt;S</w:t>
      </w:r>
      <w:r w:rsidR="004227A2">
        <w:t>ection #&gt;&gt;</w:t>
      </w:r>
      <w:permEnd w:id="1027894744"/>
      <w:r w:rsidR="003E5236">
        <w:t xml:space="preserve"> </w:t>
      </w:r>
      <w:r w:rsidR="00E62A61">
        <w:t>– Social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448146511" w:edGrp="everyone"/>
      <w:r w:rsidR="006B3B3E">
        <w:t xml:space="preserve">&lt;&lt;Location, or, </w:t>
      </w:r>
      <w:r w:rsidR="004227A2">
        <w:t>WBUonline</w:t>
      </w:r>
      <w:r w:rsidR="006B3B3E">
        <w:t xml:space="preserve"> &gt;&gt;</w:t>
      </w:r>
      <w:permEnd w:id="44814651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00865006" w:edGrp="everyone"/>
      <w:r w:rsidR="006B3B3E">
        <w:t xml:space="preserve">&lt;&lt;Ex: </w:t>
      </w:r>
      <w:r>
        <w:t>Fall 2020</w:t>
      </w:r>
      <w:r w:rsidR="006B3B3E">
        <w:t>&gt;&gt;</w:t>
      </w:r>
      <w:permEnd w:id="60086500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01289194" w:edGrp="everyone"/>
      <w:r w:rsidR="006B3B3E">
        <w:t>&lt;&lt;Ex: Dr. John Doe&gt;&gt;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&lt;&lt;If Applicable&gt;&gt;</w:t>
      </w:r>
    </w:p>
    <w:permEnd w:id="50128919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9934890" w:edGrp="everyone"/>
      <w:r w:rsidR="00D4306D">
        <w:t>&lt;&lt;</w:t>
      </w:r>
      <w:r w:rsidR="00D4306D" w:rsidRPr="00D4306D">
        <w:t xml:space="preserve">the </w:t>
      </w:r>
      <w:r w:rsidR="00D4306D" w:rsidRPr="00D4306D">
        <w:rPr>
          <w:u w:val="single"/>
        </w:rPr>
        <w:t>WBU email address</w:t>
      </w:r>
      <w:r w:rsidR="00D4306D" w:rsidRPr="00D4306D">
        <w:t xml:space="preserve"> to be utilized in this class&gt;&gt;</w:t>
      </w:r>
      <w:permEnd w:id="16993489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140420579" w:edGrp="everyone"/>
      <w:r w:rsidR="00D4306D" w:rsidRPr="00004CA2">
        <w:rPr>
          <w:rFonts w:ascii="Calibri" w:eastAsia="Times New Roman" w:hAnsi="Calibri"/>
        </w:rPr>
        <w:t>&lt;&lt;Ex. Office Hours 1-3 p.m. MWF; 2-4 TT; Gates Hall, Room 313&gt;&gt;</w:t>
      </w:r>
    </w:p>
    <w:permEnd w:id="214042057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27135908" w:edGrp="everyone"/>
      <w:r w:rsidR="00D4306D" w:rsidRPr="00D4306D">
        <w:t>&lt;&lt;Ex. Monday 6-9 p.m., Gates Hall, Room 215&gt;&gt;</w:t>
      </w:r>
      <w:permEnd w:id="82713590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9B0680" w:rsidRPr="00EA77B6" w:rsidRDefault="00E624B9" w:rsidP="002D2401">
      <w:pPr>
        <w:rPr>
          <w:szCs w:val="20"/>
        </w:rPr>
      </w:pPr>
      <w:r w:rsidRPr="00E624B9">
        <w:rPr>
          <w:b/>
        </w:rPr>
        <w:t>:</w:t>
      </w:r>
      <w:r>
        <w:rPr>
          <w:b/>
        </w:rPr>
        <w:t xml:space="preserve"> </w:t>
      </w:r>
      <w:permStart w:id="237111923" w:edGrp="everyone"/>
      <w:r w:rsidR="009B0680" w:rsidRPr="00E624B9">
        <w:rPr>
          <w:b/>
        </w:rPr>
        <w:t>:</w:t>
      </w:r>
      <w:r w:rsidR="009B0680">
        <w:rPr>
          <w:b/>
        </w:rPr>
        <w:t xml:space="preserve"> </w:t>
      </w:r>
      <w:r w:rsidR="009B0680" w:rsidRPr="00EA77B6">
        <w:rPr>
          <w:color w:val="000000"/>
          <w:szCs w:val="20"/>
          <w:u w:val="single"/>
        </w:rPr>
        <w:t>Social Psychology,</w:t>
      </w:r>
      <w:r w:rsidR="009B0680" w:rsidRPr="00EA77B6">
        <w:rPr>
          <w:color w:val="000000"/>
          <w:szCs w:val="20"/>
        </w:rPr>
        <w:t xml:space="preserve"> 1</w:t>
      </w:r>
      <w:r w:rsidR="009B0680">
        <w:rPr>
          <w:color w:val="000000"/>
          <w:szCs w:val="20"/>
        </w:rPr>
        <w:t>4</w:t>
      </w:r>
      <w:r w:rsidR="009B0680" w:rsidRPr="00EA77B6">
        <w:rPr>
          <w:color w:val="000000"/>
          <w:szCs w:val="20"/>
          <w:vertAlign w:val="superscript"/>
        </w:rPr>
        <w:t>th</w:t>
      </w:r>
      <w:r w:rsidR="009B0680" w:rsidRPr="00EA77B6">
        <w:rPr>
          <w:color w:val="000000"/>
          <w:szCs w:val="20"/>
        </w:rPr>
        <w:t xml:space="preserve"> edition </w:t>
      </w:r>
      <w:r w:rsidR="009B0680" w:rsidRPr="009B0680">
        <w:rPr>
          <w:rFonts w:cstheme="minorHAnsi"/>
          <w:color w:val="000000"/>
        </w:rPr>
        <w:t>(</w:t>
      </w:r>
      <w:r w:rsidR="009B0680" w:rsidRPr="009B0680">
        <w:rPr>
          <w:rStyle w:val="smalltxt1"/>
          <w:rFonts w:asciiTheme="minorHAnsi" w:hAnsiTheme="minorHAnsi" w:cstheme="minorHAnsi"/>
          <w:sz w:val="22"/>
          <w:szCs w:val="22"/>
        </w:rPr>
        <w:t xml:space="preserve">ISBN </w:t>
      </w:r>
      <w:r w:rsidR="009B0680" w:rsidRPr="009B0680">
        <w:rPr>
          <w:rStyle w:val="isbn13"/>
          <w:rFonts w:cstheme="minorHAnsi"/>
        </w:rPr>
        <w:t>9781260888539</w:t>
      </w:r>
      <w:r w:rsidR="009B0680" w:rsidRPr="00EA77B6">
        <w:rPr>
          <w:rStyle w:val="smalltxt1"/>
          <w:sz w:val="20"/>
          <w:szCs w:val="20"/>
        </w:rPr>
        <w:t xml:space="preserve">) </w:t>
      </w:r>
      <w:r w:rsidR="009B0680" w:rsidRPr="00EA77B6">
        <w:rPr>
          <w:color w:val="000000"/>
          <w:szCs w:val="20"/>
        </w:rPr>
        <w:t>by David G. Myers</w:t>
      </w:r>
      <w:r w:rsidR="009B0680">
        <w:rPr>
          <w:color w:val="000000"/>
          <w:szCs w:val="20"/>
        </w:rPr>
        <w:t xml:space="preserve"> and Jean Twenge</w:t>
      </w:r>
      <w:r w:rsidR="009B0680" w:rsidRPr="00EA77B6">
        <w:rPr>
          <w:color w:val="000000"/>
          <w:szCs w:val="20"/>
        </w:rPr>
        <w:t xml:space="preserve"> </w:t>
      </w:r>
    </w:p>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B0680">
        <w:rPr>
          <w:rFonts w:ascii="Calibri" w:eastAsia="Times New Roman" w:hAnsi="Calibri"/>
        </w:rPr>
        <w:t>Instructor will post any additional materials that are needed.</w:t>
      </w:r>
    </w:p>
    <w:permEnd w:id="23711192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Individual experience and behavior in social situations with an emphasis on experimental procedures for determining the nature of interpersonal relationships.</w:t>
      </w:r>
    </w:p>
    <w:p w:rsidR="006617B3" w:rsidRPr="007F7E56" w:rsidRDefault="006617B3" w:rsidP="007F7E56">
      <w:pPr>
        <w:spacing w:after="0" w:line="0" w:lineRule="atLeast"/>
        <w:ind w:right="-20"/>
        <w:jc w:val="both"/>
        <w:rPr>
          <w:rFonts w:ascii="Calibri" w:hAnsi="Calibri"/>
          <w:sz w:val="24"/>
          <w:szCs w:val="24"/>
        </w:rPr>
      </w:pPr>
    </w:p>
    <w:p w:rsidR="00055F75" w:rsidRPr="00801718" w:rsidRDefault="00055F75" w:rsidP="00055F75">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B33539">
      <w:pPr>
        <w:pStyle w:val="SyllabiBasic"/>
        <w:spacing w:after="0"/>
        <w:rPr>
          <w:b/>
          <w:vanish/>
          <w:specVanish/>
        </w:rPr>
      </w:pPr>
      <w:r w:rsidRPr="00801718">
        <w:rPr>
          <w:b/>
        </w:rPr>
        <w:lastRenderedPageBreak/>
        <w:t>Course Outcome Competencies</w:t>
      </w:r>
    </w:p>
    <w:p w:rsidR="00B33539" w:rsidRPr="00B33539" w:rsidRDefault="00E624B9" w:rsidP="00B33539">
      <w:pPr>
        <w:spacing w:after="0"/>
        <w:rPr>
          <w:rFonts w:cstheme="minorHAnsi"/>
        </w:rPr>
      </w:pPr>
      <w:r w:rsidRPr="00801718">
        <w:rPr>
          <w:b/>
        </w:rPr>
        <w:t>:</w:t>
      </w:r>
      <w:r w:rsidR="00AD4C42" w:rsidRPr="00801718">
        <w:rPr>
          <w:b/>
        </w:rPr>
        <w:t xml:space="preserve"> </w:t>
      </w:r>
      <w:r w:rsidR="008209CF" w:rsidRPr="00822C94">
        <w:rPr>
          <w:b/>
        </w:rPr>
        <w:t xml:space="preserve"> </w:t>
      </w:r>
      <w:r w:rsidR="00B33539" w:rsidRPr="00B33539">
        <w:rPr>
          <w:rFonts w:cstheme="minorHAnsi"/>
        </w:rPr>
        <w:t>Upon completion of this course, students will be able to:</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the major concepts an</w:t>
      </w:r>
      <w:r>
        <w:rPr>
          <w:rFonts w:cstheme="minorHAnsi"/>
          <w:lang w:eastAsia="ja-JP"/>
        </w:rPr>
        <w:t>d theories of social psychology</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and evaluate the empirical researc</w:t>
      </w:r>
      <w:r>
        <w:rPr>
          <w:rFonts w:cstheme="minorHAnsi"/>
          <w:lang w:eastAsia="ja-JP"/>
        </w:rPr>
        <w:t>h that supports major theories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Analyze the implications of social psychologic</w:t>
      </w:r>
      <w:r>
        <w:rPr>
          <w:rFonts w:cstheme="minorHAnsi"/>
          <w:lang w:eastAsia="ja-JP"/>
        </w:rPr>
        <w:t>al theories for social problems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Apply social psychological phenomena to specific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921018669"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21018669"/>
    </w:p>
    <w:p w:rsidR="00182992" w:rsidRDefault="007D5A2A" w:rsidP="000C2431">
      <w:pPr>
        <w:pStyle w:val="SyllabiHeading"/>
        <w:rPr>
          <w:b/>
        </w:rPr>
      </w:pPr>
      <w:r w:rsidRPr="007D5A2A">
        <w:rPr>
          <w:b/>
        </w:rPr>
        <w:t>University Policies</w:t>
      </w:r>
    </w:p>
    <w:p w:rsidR="00B33539" w:rsidRPr="0039378D" w:rsidRDefault="00B33539" w:rsidP="00B33539">
      <w:pPr>
        <w:spacing w:after="0" w:line="960" w:lineRule="auto"/>
        <w:outlineLvl w:val="1"/>
        <w:rPr>
          <w:b/>
          <w:vanish/>
        </w:rPr>
      </w:pPr>
      <w:r w:rsidRPr="0039378D">
        <w:rPr>
          <w:b/>
        </w:rPr>
        <w:t>Statement on Plagiarism and Academic Dishonesty</w:t>
      </w:r>
    </w:p>
    <w:p w:rsidR="00B33539" w:rsidRPr="0039378D" w:rsidRDefault="00B33539" w:rsidP="00B3353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Disability Statement</w:t>
      </w:r>
    </w:p>
    <w:p w:rsidR="00B33539" w:rsidRPr="0039378D" w:rsidRDefault="00B33539" w:rsidP="00B3353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33539" w:rsidRPr="0039378D" w:rsidRDefault="00B33539" w:rsidP="00B33539">
      <w:pPr>
        <w:spacing w:after="0"/>
        <w:rPr>
          <w:rFonts w:ascii="Calibri" w:hAnsi="Calibri"/>
        </w:rPr>
      </w:pPr>
      <w:r w:rsidRPr="0039378D">
        <w:rPr>
          <w:rFonts w:ascii="Calibri" w:hAnsi="Calibri"/>
        </w:rPr>
        <w:t xml:space="preserve"> </w:t>
      </w:r>
    </w:p>
    <w:p w:rsidR="00B33539" w:rsidRPr="0039378D" w:rsidRDefault="00B33539" w:rsidP="00B3353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D2297">
        <w:rPr>
          <w:rFonts w:ascii="Calibri" w:hAnsi="Calibri"/>
        </w:rPr>
        <w:t>Rick Hammer</w:t>
      </w:r>
      <w:r w:rsidRPr="0039378D">
        <w:rPr>
          <w:rFonts w:ascii="Calibri" w:hAnsi="Calibri"/>
        </w:rPr>
        <w:t xml:space="preserve">, </w:t>
      </w:r>
      <w:hyperlink r:id="rId12" w:history="1">
        <w:r w:rsidR="005D2297" w:rsidRPr="00EE34C4">
          <w:rPr>
            <w:rStyle w:val="Hyperlink"/>
            <w:rFonts w:ascii="Calibri" w:hAnsi="Calibri"/>
          </w:rPr>
          <w:t>hammerr@wbu.edu</w:t>
        </w:r>
      </w:hyperlink>
      <w:r w:rsidRPr="0039378D">
        <w:rPr>
          <w:rFonts w:ascii="Calibri" w:hAnsi="Calibri"/>
        </w:rPr>
        <w:t xml:space="preserve"> or call (806) 29</w:t>
      </w:r>
      <w:r w:rsidR="005D2297">
        <w:rPr>
          <w:rFonts w:ascii="Calibri" w:hAnsi="Calibri"/>
        </w:rPr>
        <w:t>2</w:t>
      </w:r>
      <w:r w:rsidRPr="0039378D">
        <w:rPr>
          <w:rFonts w:ascii="Calibri" w:hAnsi="Calibri"/>
        </w:rPr>
        <w:t>-</w:t>
      </w:r>
      <w:r w:rsidR="005D2297">
        <w:rPr>
          <w:rFonts w:ascii="Calibri" w:hAnsi="Calibri"/>
        </w:rPr>
        <w:t>9150</w:t>
      </w:r>
      <w:r w:rsidRPr="0039378D">
        <w:rPr>
          <w:rFonts w:ascii="Calibri" w:hAnsi="Calibri"/>
        </w:rPr>
        <w:t>.</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lastRenderedPageBreak/>
        <w:t>Student Grade Appeals</w:t>
      </w:r>
    </w:p>
    <w:p w:rsidR="00B33539" w:rsidRPr="0039378D" w:rsidRDefault="00B33539" w:rsidP="00B3353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33539" w:rsidRPr="0039378D" w:rsidRDefault="00B33539" w:rsidP="00B33539">
      <w:pPr>
        <w:spacing w:after="0"/>
      </w:pPr>
    </w:p>
    <w:p w:rsidR="00B33539" w:rsidRPr="0039378D" w:rsidRDefault="00B33539" w:rsidP="00B33539">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412D4" w:rsidRDefault="00D412D4" w:rsidP="00D412D4">
      <w:pPr>
        <w:rPr>
          <w:rFonts w:ascii="Calibri" w:hAnsi="Calibri"/>
          <w:sz w:val="24"/>
          <w:szCs w:val="24"/>
        </w:rPr>
      </w:pPr>
      <w:permStart w:id="934310794" w:edGrp="everyone"/>
      <w:r w:rsidRPr="007A34C1">
        <w:rPr>
          <w:rFonts w:ascii="Calibri" w:hAnsi="Calibri"/>
          <w:sz w:val="24"/>
          <w:szCs w:val="24"/>
          <w:u w:val="single"/>
        </w:rPr>
        <w:t>Participation/Attendance</w:t>
      </w:r>
      <w:r w:rsidRPr="007A34C1">
        <w:rPr>
          <w:rFonts w:ascii="Calibri" w:hAnsi="Calibri"/>
          <w:sz w:val="24"/>
          <w:szCs w:val="24"/>
        </w:rPr>
        <w:t xml:space="preserve">: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w:t>
      </w:r>
    </w:p>
    <w:p w:rsidR="00D412D4" w:rsidRPr="007A34C1" w:rsidRDefault="00D412D4" w:rsidP="00D412D4">
      <w:pPr>
        <w:rPr>
          <w:rFonts w:ascii="Calibri" w:hAnsi="Calibri"/>
          <w:sz w:val="24"/>
          <w:szCs w:val="24"/>
        </w:rPr>
      </w:pPr>
    </w:p>
    <w:p w:rsidR="00D412D4" w:rsidRPr="007A34C1" w:rsidRDefault="00D412D4" w:rsidP="00D412D4">
      <w:pPr>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xml:space="preserve">:  Every student will be required to take two (2) exams on the dates indicated on the schedule.  The exams will contain about </w:t>
      </w:r>
      <w:r>
        <w:rPr>
          <w:rFonts w:ascii="Calibri" w:hAnsi="Calibri"/>
          <w:sz w:val="24"/>
          <w:szCs w:val="24"/>
        </w:rPr>
        <w:t>5</w:t>
      </w:r>
      <w:r w:rsidRPr="007A34C1">
        <w:rPr>
          <w:rFonts w:ascii="Calibri" w:hAnsi="Calibri"/>
          <w:sz w:val="24"/>
          <w:szCs w:val="24"/>
        </w:rPr>
        <w:t xml:space="preserve">0 - 75 questions and may consist of multiple choice, true/false, matching and essay questions.  The exams will be worth </w:t>
      </w:r>
      <w:r>
        <w:rPr>
          <w:rFonts w:ascii="Calibri" w:hAnsi="Calibri"/>
          <w:sz w:val="24"/>
          <w:szCs w:val="24"/>
        </w:rPr>
        <w:t>35</w:t>
      </w:r>
      <w:r w:rsidRPr="007A34C1">
        <w:rPr>
          <w:rFonts w:ascii="Calibri" w:hAnsi="Calibri"/>
          <w:sz w:val="24"/>
          <w:szCs w:val="24"/>
        </w:rPr>
        <w:t xml:space="preserve">0 points each or </w:t>
      </w:r>
      <w:r>
        <w:rPr>
          <w:rFonts w:ascii="Calibri" w:hAnsi="Calibri"/>
          <w:sz w:val="24"/>
          <w:szCs w:val="24"/>
        </w:rPr>
        <w:t>35</w:t>
      </w:r>
      <w:r w:rsidRPr="007A34C1">
        <w:rPr>
          <w:rFonts w:ascii="Calibri" w:hAnsi="Calibri"/>
          <w:sz w:val="24"/>
          <w:szCs w:val="24"/>
        </w:rPr>
        <w:t>% each of your final grade. A majority of these questions will come from the chapter quizzes.</w:t>
      </w:r>
    </w:p>
    <w:p w:rsidR="00D412D4" w:rsidRPr="00AD59E2" w:rsidRDefault="00D412D4" w:rsidP="00D412D4">
      <w:pPr>
        <w:pStyle w:val="Heading1"/>
      </w:pPr>
      <w:r w:rsidRPr="00AD59E2">
        <w:t>Additional Quiz/Test Instructions</w:t>
      </w:r>
    </w:p>
    <w:p w:rsidR="00D412D4" w:rsidRPr="007A34C1" w:rsidRDefault="00D412D4" w:rsidP="00D412D4">
      <w:pPr>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D412D4" w:rsidRDefault="00D412D4" w:rsidP="00D412D4">
      <w:pPr>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w:t>
      </w:r>
    </w:p>
    <w:p w:rsidR="00D412D4" w:rsidRPr="007A34C1" w:rsidRDefault="00D412D4" w:rsidP="00D412D4">
      <w:pPr>
        <w:rPr>
          <w:rFonts w:ascii="Calibri" w:hAnsi="Calibri"/>
          <w:sz w:val="24"/>
          <w:szCs w:val="24"/>
        </w:rPr>
      </w:pPr>
      <w:r>
        <w:rPr>
          <w:rFonts w:ascii="Calibri" w:hAnsi="Calibri"/>
          <w:sz w:val="24"/>
          <w:szCs w:val="24"/>
        </w:rPr>
        <w:t>All Exams close at 3:00 PM on the Friday the week they are scheduled.</w:t>
      </w:r>
      <w:bookmarkStart w:id="0" w:name="_GoBack"/>
      <w:bookmarkEnd w:id="0"/>
    </w:p>
    <w:p w:rsidR="00D412D4" w:rsidRDefault="00D412D4" w:rsidP="00D412D4">
      <w:pPr>
        <w:rPr>
          <w:rFonts w:ascii="Calibri" w:hAnsi="Calibri"/>
          <w:sz w:val="24"/>
          <w:szCs w:val="24"/>
        </w:rPr>
      </w:pPr>
    </w:p>
    <w:p w:rsidR="00D412D4" w:rsidRPr="007A34C1" w:rsidRDefault="00D412D4" w:rsidP="00D412D4">
      <w:pPr>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 and 20 minutes to take quizzes. If you go over the allotted time, one point will be deducted from the exam grade for each minute that 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w:t>
      </w:r>
      <w:r>
        <w:rPr>
          <w:rFonts w:ascii="Calibri" w:hAnsi="Calibri"/>
          <w:sz w:val="24"/>
          <w:szCs w:val="24"/>
        </w:rPr>
        <w:t>be reset as a matter of routine and quizzes are NEVER reset.</w:t>
      </w:r>
    </w:p>
    <w:p w:rsidR="00D412D4" w:rsidRDefault="00D412D4" w:rsidP="00D412D4">
      <w:pPr>
        <w:rPr>
          <w:rFonts w:ascii="Calibri" w:hAnsi="Calibri"/>
          <w:sz w:val="24"/>
          <w:szCs w:val="24"/>
        </w:rPr>
      </w:pPr>
    </w:p>
    <w:p w:rsidR="00D412D4" w:rsidRPr="007A34C1" w:rsidRDefault="00D412D4" w:rsidP="00D412D4">
      <w:pPr>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D412D4" w:rsidRPr="007A34C1" w:rsidRDefault="00D412D4" w:rsidP="00D412D4">
      <w:pPr>
        <w:rPr>
          <w:rFonts w:ascii="Calibri" w:hAnsi="Calibri"/>
          <w:sz w:val="24"/>
          <w:szCs w:val="24"/>
        </w:rPr>
      </w:pPr>
    </w:p>
    <w:p w:rsidR="00D412D4" w:rsidRPr="007A34C1" w:rsidRDefault="00D412D4" w:rsidP="00D412D4">
      <w:pPr>
        <w:rPr>
          <w:rFonts w:ascii="Calibri" w:hAnsi="Calibri"/>
          <w:sz w:val="24"/>
          <w:szCs w:val="24"/>
        </w:rPr>
      </w:pPr>
      <w:r>
        <w:rPr>
          <w:rFonts w:ascii="Calibri" w:hAnsi="Calibri"/>
          <w:sz w:val="24"/>
          <w:szCs w:val="24"/>
        </w:rPr>
        <w:t xml:space="preserve">2 </w:t>
      </w:r>
      <w:r w:rsidRPr="007A34C1">
        <w:rPr>
          <w:rFonts w:ascii="Calibri" w:hAnsi="Calibri"/>
          <w:sz w:val="24"/>
          <w:szCs w:val="24"/>
        </w:rPr>
        <w:t>Exams</w:t>
      </w:r>
      <w:r>
        <w:rPr>
          <w:rFonts w:ascii="Calibri" w:hAnsi="Calibri"/>
          <w:sz w:val="24"/>
          <w:szCs w:val="24"/>
        </w:rPr>
        <w:t xml:space="preserve"> 700</w:t>
      </w:r>
      <w:r w:rsidRPr="007A34C1">
        <w:rPr>
          <w:rFonts w:ascii="Calibri" w:hAnsi="Calibri"/>
          <w:sz w:val="24"/>
          <w:szCs w:val="24"/>
        </w:rPr>
        <w:t xml:space="preserve"> points (</w:t>
      </w:r>
      <w:r>
        <w:rPr>
          <w:rFonts w:ascii="Calibri" w:hAnsi="Calibri"/>
          <w:sz w:val="24"/>
          <w:szCs w:val="24"/>
        </w:rPr>
        <w:t>350</w:t>
      </w:r>
      <w:r w:rsidRPr="007A34C1">
        <w:rPr>
          <w:rFonts w:ascii="Calibri" w:hAnsi="Calibri"/>
          <w:sz w:val="24"/>
          <w:szCs w:val="24"/>
        </w:rPr>
        <w:t xml:space="preserve"> points each)</w:t>
      </w:r>
    </w:p>
    <w:p w:rsidR="00D412D4" w:rsidRDefault="00D412D4" w:rsidP="00D412D4">
      <w:pPr>
        <w:rPr>
          <w:rFonts w:ascii="Calibri" w:hAnsi="Calibri" w:cs="Calibri"/>
          <w:b/>
          <w:bCs/>
          <w:color w:val="000000"/>
        </w:rPr>
      </w:pPr>
      <w:r>
        <w:rPr>
          <w:rFonts w:ascii="Calibri" w:hAnsi="Calibri"/>
          <w:sz w:val="24"/>
          <w:szCs w:val="24"/>
        </w:rPr>
        <w:t>6 Discussions/</w:t>
      </w:r>
      <w:r w:rsidRPr="007A34C1">
        <w:rPr>
          <w:rFonts w:ascii="Calibri" w:hAnsi="Calibri"/>
          <w:sz w:val="24"/>
          <w:szCs w:val="24"/>
        </w:rPr>
        <w:t>Participation</w:t>
      </w:r>
      <w:r>
        <w:rPr>
          <w:rFonts w:ascii="Calibri" w:hAnsi="Calibri"/>
          <w:sz w:val="24"/>
          <w:szCs w:val="24"/>
        </w:rPr>
        <w:t xml:space="preserve"> </w:t>
      </w:r>
      <w:r>
        <w:rPr>
          <w:rFonts w:ascii="Calibri" w:hAnsi="Calibri"/>
          <w:sz w:val="24"/>
          <w:szCs w:val="24"/>
        </w:rPr>
        <w:t>300</w:t>
      </w:r>
      <w:r w:rsidRPr="007A34C1">
        <w:rPr>
          <w:rFonts w:ascii="Calibri" w:hAnsi="Calibri"/>
          <w:sz w:val="24"/>
          <w:szCs w:val="24"/>
        </w:rPr>
        <w:t xml:space="preserve"> points</w:t>
      </w:r>
      <w:r>
        <w:rPr>
          <w:rFonts w:ascii="Calibri" w:hAnsi="Calibri"/>
          <w:sz w:val="24"/>
          <w:szCs w:val="24"/>
        </w:rPr>
        <w:t xml:space="preserve"> (</w:t>
      </w:r>
      <w:r>
        <w:rPr>
          <w:rFonts w:ascii="Calibri" w:hAnsi="Calibri"/>
          <w:sz w:val="24"/>
          <w:szCs w:val="24"/>
        </w:rPr>
        <w:t>50</w:t>
      </w:r>
      <w:r>
        <w:rPr>
          <w:rFonts w:ascii="Calibri" w:hAnsi="Calibri"/>
          <w:sz w:val="24"/>
          <w:szCs w:val="24"/>
        </w:rPr>
        <w:t xml:space="preserve"> points each)</w:t>
      </w:r>
    </w:p>
    <w:permEnd w:id="9343107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12D4" w:rsidRDefault="00D412D4" w:rsidP="00D412D4">
      <w:pPr>
        <w:rPr>
          <w:rFonts w:ascii="Calibri" w:hAnsi="Calibri"/>
          <w:b/>
          <w:sz w:val="24"/>
          <w:szCs w:val="24"/>
        </w:rPr>
      </w:pPr>
      <w:permStart w:id="219745110" w:edGrp="everyone"/>
      <w:r>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D412D4" w:rsidRDefault="00D412D4" w:rsidP="00D412D4">
      <w:pPr>
        <w:rPr>
          <w:rFonts w:ascii="Calibri" w:hAnsi="Calibri"/>
          <w:b/>
          <w:sz w:val="24"/>
          <w:szCs w:val="24"/>
        </w:rPr>
      </w:pPr>
      <w:r>
        <w:rPr>
          <w:rFonts w:ascii="Calibri" w:hAnsi="Calibri"/>
          <w:b/>
          <w:sz w:val="24"/>
          <w:szCs w:val="24"/>
        </w:rPr>
        <w:t>Exams close at 3:00 PM Plainview Texas time on the Friday of the week they are scheduled.</w:t>
      </w:r>
    </w:p>
    <w:p w:rsidR="00D412D4" w:rsidRDefault="00D412D4" w:rsidP="00D412D4">
      <w:pPr>
        <w:rPr>
          <w:rFonts w:ascii="Calibri" w:hAnsi="Calibri"/>
          <w:b/>
          <w:sz w:val="24"/>
          <w:szCs w:val="24"/>
        </w:rPr>
      </w:pPr>
      <w:r>
        <w:rPr>
          <w:rFonts w:ascii="Calibri" w:hAnsi="Calibri"/>
          <w:b/>
          <w:sz w:val="24"/>
          <w:szCs w:val="24"/>
        </w:rPr>
        <w:t>Discussions – weeks 1,2,3,5,6,7</w:t>
      </w:r>
    </w:p>
    <w:p w:rsidR="00D412D4" w:rsidRDefault="00D412D4" w:rsidP="00D412D4">
      <w:pPr>
        <w:rPr>
          <w:rFonts w:ascii="Calibri" w:hAnsi="Calibri"/>
          <w:b/>
          <w:sz w:val="24"/>
          <w:szCs w:val="24"/>
        </w:rPr>
      </w:pPr>
      <w:r>
        <w:rPr>
          <w:rFonts w:ascii="Calibri" w:hAnsi="Calibri"/>
          <w:b/>
          <w:sz w:val="24"/>
          <w:szCs w:val="24"/>
        </w:rPr>
        <w:t>Exams – weeks 4, 8</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D412D4" w:rsidRPr="00561A38" w:rsidRDefault="00D412D4" w:rsidP="00D412D4">
      <w:r w:rsidRPr="007729EE">
        <w:t>Note to students:  Please understand this is a college course.  I expect you to be prepared and be a self-motivator in this course.  I do not open email attachments from students – ever</w:t>
      </w:r>
      <w:r>
        <w:t>.</w:t>
      </w:r>
      <w:r w:rsidRPr="007729EE">
        <w:t xml:space="preserve">  Late work is not accepted – you have had plenty of time to get things done but if you wait until the last minute then things may prevent you from completing an item but that is a choice you made.   Short and or late assignments will not be graded.</w:t>
      </w:r>
    </w:p>
    <w:permEnd w:id="219745110"/>
    <w:p w:rsidR="00561A38" w:rsidRPr="00561A38" w:rsidRDefault="00561A38" w:rsidP="00D412D4"/>
    <w:sectPr w:rsidR="00561A38" w:rsidRPr="00561A38" w:rsidSect="00BD619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13" w:rsidRDefault="00B17713" w:rsidP="002B1DF6">
      <w:pPr>
        <w:spacing w:after="0"/>
      </w:pPr>
      <w:r>
        <w:separator/>
      </w:r>
    </w:p>
  </w:endnote>
  <w:endnote w:type="continuationSeparator" w:id="0">
    <w:p w:rsidR="00B17713" w:rsidRDefault="00B1771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pPr>
      <w:pStyle w:val="Footer"/>
      <w:jc w:val="right"/>
    </w:pPr>
    <w:r w:rsidRPr="00BD6196">
      <w:rPr>
        <w:i/>
        <w:sz w:val="16"/>
      </w:rPr>
      <w:t xml:space="preserve">Template Updated </w:t>
    </w:r>
    <w:r w:rsidR="005D2297">
      <w:rPr>
        <w:i/>
        <w:sz w:val="16"/>
      </w:rPr>
      <w:t>October 27, 2022</w:t>
    </w:r>
    <w:r>
      <w:tab/>
    </w:r>
    <w:r>
      <w:tab/>
    </w:r>
    <w:sdt>
      <w:sdtPr>
        <w:id w:val="172957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D619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33539">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13" w:rsidRDefault="00B17713" w:rsidP="002B1DF6">
      <w:pPr>
        <w:spacing w:after="0"/>
      </w:pPr>
      <w:r>
        <w:separator/>
      </w:r>
    </w:p>
  </w:footnote>
  <w:footnote w:type="continuationSeparator" w:id="0">
    <w:p w:rsidR="00B17713" w:rsidRDefault="00B1771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rsidP="00BD619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BD6196" w:rsidRDefault="00BD6196" w:rsidP="00BD6196">
    <w:pPr>
      <w:pStyle w:val="Header"/>
      <w:jc w:val="right"/>
    </w:pPr>
    <w:r>
      <w:t>School of Behavioral &amp; Social Sciences</w:t>
    </w:r>
  </w:p>
  <w:p w:rsidR="00BD6196" w:rsidRDefault="00BD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9"/>
  </w:num>
  <w:num w:numId="4">
    <w:abstractNumId w:val="12"/>
  </w:num>
  <w:num w:numId="5">
    <w:abstractNumId w:val="19"/>
  </w:num>
  <w:num w:numId="6">
    <w:abstractNumId w:val="15"/>
  </w:num>
  <w:num w:numId="7">
    <w:abstractNumId w:val="24"/>
  </w:num>
  <w:num w:numId="8">
    <w:abstractNumId w:val="6"/>
  </w:num>
  <w:num w:numId="9">
    <w:abstractNumId w:val="27"/>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8"/>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2"/>
  </w:num>
  <w:num w:numId="30">
    <w:abstractNumId w:val="8"/>
  </w:num>
  <w:num w:numId="31">
    <w:abstractNumId w:val="25"/>
  </w:num>
  <w:num w:numId="32">
    <w:abstractNumId w:val="35"/>
  </w:num>
  <w:num w:numId="33">
    <w:abstractNumId w:val="17"/>
  </w:num>
  <w:num w:numId="34">
    <w:abstractNumId w:val="14"/>
  </w:num>
  <w:num w:numId="35">
    <w:abstractNumId w:val="3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MHE7qlIPkOnsUW7cKVCkGzuMzCIPpE1U7SZeuk20+3XqVkH+oIfvShQLev/Q53rv1Evt1J7lDjGd8UgeYkXLA==" w:salt="KAzAKSfTxBFqgV12a2+d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55F75"/>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1DB1"/>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2297"/>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0680"/>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97D87"/>
    <w:rsid w:val="00AB75CB"/>
    <w:rsid w:val="00AC332B"/>
    <w:rsid w:val="00AD34CF"/>
    <w:rsid w:val="00AD384B"/>
    <w:rsid w:val="00AD4C42"/>
    <w:rsid w:val="00AD7E52"/>
    <w:rsid w:val="00B01774"/>
    <w:rsid w:val="00B03977"/>
    <w:rsid w:val="00B10FDC"/>
    <w:rsid w:val="00B151C1"/>
    <w:rsid w:val="00B163F9"/>
    <w:rsid w:val="00B17713"/>
    <w:rsid w:val="00B201A7"/>
    <w:rsid w:val="00B2326E"/>
    <w:rsid w:val="00B319D7"/>
    <w:rsid w:val="00B33539"/>
    <w:rsid w:val="00B36366"/>
    <w:rsid w:val="00B45FD2"/>
    <w:rsid w:val="00B5343B"/>
    <w:rsid w:val="00B53C43"/>
    <w:rsid w:val="00B570EA"/>
    <w:rsid w:val="00B66EC9"/>
    <w:rsid w:val="00B71E16"/>
    <w:rsid w:val="00B86278"/>
    <w:rsid w:val="00B90F79"/>
    <w:rsid w:val="00B915AC"/>
    <w:rsid w:val="00B9240F"/>
    <w:rsid w:val="00BB466F"/>
    <w:rsid w:val="00BD2452"/>
    <w:rsid w:val="00BD6196"/>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1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E528E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UnresolvedMention">
    <w:name w:val="Unresolved Mention"/>
    <w:basedOn w:val="DefaultParagraphFont"/>
    <w:uiPriority w:val="99"/>
    <w:semiHidden/>
    <w:unhideWhenUsed/>
    <w:rsid w:val="005D2297"/>
    <w:rPr>
      <w:color w:val="605E5C"/>
      <w:shd w:val="clear" w:color="auto" w:fill="E1DFDD"/>
    </w:rPr>
  </w:style>
  <w:style w:type="character" w:customStyle="1" w:styleId="smalltxt1">
    <w:name w:val="smalltxt1"/>
    <w:rsid w:val="009B0680"/>
    <w:rPr>
      <w:rFonts w:ascii="Arial" w:hAnsi="Arial" w:cs="Arial" w:hint="default"/>
      <w:color w:val="636363"/>
      <w:sz w:val="15"/>
      <w:szCs w:val="15"/>
    </w:rPr>
  </w:style>
  <w:style w:type="character" w:customStyle="1" w:styleId="isbn13">
    <w:name w:val="isbn13"/>
    <w:basedOn w:val="DefaultParagraphFont"/>
    <w:rsid w:val="009B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882140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6EA3-CA00-46E0-8FDD-A274A7CD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1506</Words>
  <Characters>8586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3</cp:revision>
  <dcterms:created xsi:type="dcterms:W3CDTF">2022-12-15T14:12:00Z</dcterms:created>
  <dcterms:modified xsi:type="dcterms:W3CDTF">2022-12-15T14:26:00Z</dcterms:modified>
</cp:coreProperties>
</file>