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yllabi Heading"/>
      </w:pPr>
    </w:p>
    <w:p>
      <w:pPr>
        <w:pStyle w:val="Syllabi Heading"/>
        <w:rPr>
          <w:rStyle w:val="None A"/>
          <w:b w:val="1"/>
          <w:bCs w:val="1"/>
        </w:rPr>
      </w:pPr>
      <w:r>
        <w:rPr>
          <w:rStyle w:val="None A"/>
          <w:rFonts w:cs="Arial Unicode MS" w:eastAsia="Arial Unicode MS"/>
          <w:b w:val="1"/>
          <w:bCs w:val="1"/>
          <w:rtl w:val="0"/>
          <w:lang w:val="en-US"/>
        </w:rPr>
        <w:t xml:space="preserve">Wayland Mission Statement </w:t>
      </w:r>
    </w:p>
    <w:p>
      <w:pPr>
        <w:pStyle w:val="Body A"/>
        <w:spacing w:after="0"/>
      </w:pPr>
      <w:r>
        <w:rPr>
          <w:rStyle w:val="Syllabi Basic Char"/>
          <w:rtl w:val="0"/>
          <w:lang w:val="en-US"/>
        </w:rPr>
        <w:t>Wayland Baptist University exists to educate students in an academically challenging, learning-focused, and distinctively Christian environment for professional success, and service to God and humankind.</w:t>
      </w:r>
    </w:p>
    <w:p>
      <w:pPr>
        <w:pStyle w:val="Syllabi Heading"/>
        <w:rPr>
          <w:rStyle w:val="None A"/>
          <w:b w:val="1"/>
          <w:bCs w:val="1"/>
        </w:rPr>
      </w:pPr>
      <w:r>
        <w:rPr>
          <w:rStyle w:val="None A"/>
          <w:rFonts w:cs="Arial Unicode MS" w:eastAsia="Arial Unicode MS"/>
          <w:b w:val="1"/>
          <w:bCs w:val="1"/>
          <w:rtl w:val="0"/>
          <w:lang w:val="en-US"/>
        </w:rPr>
        <w:t xml:space="preserve">Contact Information </w:t>
      </w:r>
    </w:p>
    <w:p>
      <w:pPr>
        <w:pStyle w:val="Body A"/>
        <w:spacing w:after="0"/>
      </w:pPr>
      <w:r>
        <w:rPr>
          <w:rStyle w:val="None A"/>
          <w:b w:val="1"/>
          <w:bCs w:val="1"/>
          <w:rtl w:val="0"/>
          <w:lang w:val="fr-FR"/>
        </w:rPr>
        <w:t>Course</w:t>
      </w:r>
      <w:r>
        <w:rPr>
          <w:rtl w:val="0"/>
        </w:rPr>
        <w:t xml:space="preserve">: JUAD 3301  </w:t>
      </w:r>
      <w:r>
        <w:rPr>
          <w:rtl w:val="0"/>
        </w:rPr>
        <w:t xml:space="preserve">– </w:t>
      </w:r>
      <w:r>
        <w:rPr>
          <w:rStyle w:val="Syllabi Basic Char"/>
          <w:rtl w:val="0"/>
          <w:lang w:val="en-US"/>
        </w:rPr>
        <w:t>Police-Community Relations</w:t>
      </w:r>
    </w:p>
    <w:p>
      <w:pPr>
        <w:pStyle w:val="Body A"/>
        <w:spacing w:after="0"/>
      </w:pPr>
      <w:r>
        <w:rPr>
          <w:rStyle w:val="None A"/>
          <w:b w:val="1"/>
          <w:bCs w:val="1"/>
          <w:rtl w:val="0"/>
          <w:lang w:val="en-US"/>
        </w:rPr>
        <w:t>Campus</w:t>
      </w:r>
      <w:r>
        <w:rPr>
          <w:rtl w:val="0"/>
        </w:rPr>
        <w:t xml:space="preserve">: </w:t>
      </w:r>
      <w:r>
        <w:rPr>
          <w:rStyle w:val="Syllabi Basic Char"/>
          <w:rtl w:val="0"/>
          <w:lang w:val="en-US"/>
        </w:rPr>
        <w:t>Online</w:t>
      </w:r>
    </w:p>
    <w:p>
      <w:pPr>
        <w:pStyle w:val="Body A"/>
        <w:spacing w:after="0"/>
      </w:pPr>
      <w:r>
        <w:rPr>
          <w:rStyle w:val="None A"/>
          <w:b w:val="1"/>
          <w:bCs w:val="1"/>
          <w:rtl w:val="0"/>
          <w:lang w:val="en-US"/>
        </w:rPr>
        <w:t>Term/Session:</w:t>
      </w:r>
      <w:r>
        <w:rPr>
          <w:rtl w:val="0"/>
        </w:rPr>
        <w:t xml:space="preserve"> </w:t>
      </w:r>
      <w:r>
        <w:rPr>
          <w:rStyle w:val="Syllabi Basic Char"/>
          <w:rtl w:val="0"/>
          <w:lang w:val="en-US"/>
        </w:rPr>
        <w:t>Summer2023</w:t>
      </w:r>
    </w:p>
    <w:p>
      <w:pPr>
        <w:pStyle w:val="Body A"/>
        <w:spacing w:after="0"/>
      </w:pPr>
      <w:r>
        <w:rPr>
          <w:rStyle w:val="None A"/>
          <w:b w:val="1"/>
          <w:bCs w:val="1"/>
          <w:rtl w:val="0"/>
          <w:lang w:val="es-ES_tradnl"/>
        </w:rPr>
        <w:t>Instructor:</w:t>
      </w:r>
      <w:r>
        <w:rPr>
          <w:rtl w:val="0"/>
        </w:rPr>
        <w:t xml:space="preserve"> </w:t>
      </w:r>
      <w:r>
        <w:rPr>
          <w:rStyle w:val="Syllabi Basic Char"/>
          <w:rtl w:val="0"/>
          <w:lang w:val="en-US"/>
        </w:rPr>
        <w:t>David Mull</w:t>
      </w:r>
    </w:p>
    <w:p>
      <w:pPr>
        <w:pStyle w:val="Body A"/>
        <w:spacing w:after="0"/>
      </w:pPr>
      <w:r>
        <w:rPr>
          <w:rStyle w:val="None A"/>
          <w:b w:val="1"/>
          <w:bCs w:val="1"/>
          <w:rtl w:val="0"/>
          <w:lang w:val="en-US"/>
        </w:rPr>
        <w:t>Office Phone Number:</w:t>
      </w:r>
      <w:r>
        <w:rPr>
          <w:rtl w:val="0"/>
        </w:rPr>
        <w:t xml:space="preserve"> </w:t>
      </w:r>
      <w:r>
        <w:rPr>
          <w:rStyle w:val="Syllabi Basic Char"/>
          <w:rtl w:val="0"/>
          <w:lang w:val="en-US"/>
        </w:rPr>
        <w:t>806 292-1671</w:t>
      </w:r>
    </w:p>
    <w:p>
      <w:pPr>
        <w:pStyle w:val="Body A"/>
        <w:spacing w:after="0"/>
      </w:pPr>
      <w:r>
        <w:rPr>
          <w:rStyle w:val="None A"/>
          <w:b w:val="1"/>
          <w:bCs w:val="1"/>
          <w:rtl w:val="0"/>
          <w:lang w:val="en-US"/>
        </w:rPr>
        <w:t>WBU Email Address:</w:t>
      </w:r>
      <w:r>
        <w:rPr>
          <w:rtl w:val="0"/>
        </w:rPr>
        <w:t xml:space="preserve"> </w:t>
      </w:r>
      <w:r>
        <w:rPr>
          <w:rStyle w:val="Syllabi Basic Char"/>
          <w:rtl w:val="0"/>
          <w:lang w:val="en-US"/>
        </w:rPr>
        <w:t>david.mull@wayland.wbu.edu</w:t>
      </w:r>
    </w:p>
    <w:p>
      <w:pPr>
        <w:pStyle w:val="Body A"/>
        <w:spacing w:after="0"/>
        <w:rPr>
          <w:rStyle w:val="None A"/>
          <w:b w:val="1"/>
          <w:bCs w:val="1"/>
        </w:rPr>
      </w:pPr>
      <w:r>
        <w:rPr>
          <w:rStyle w:val="None A"/>
          <w:b w:val="1"/>
          <w:bCs w:val="1"/>
          <w:rtl w:val="0"/>
          <w:lang w:val="en-US"/>
        </w:rPr>
        <w:t>Office Hours, Building, and Location: email or text</w:t>
      </w:r>
    </w:p>
    <w:p>
      <w:pPr>
        <w:pStyle w:val="Body A"/>
        <w:spacing w:after="0"/>
      </w:pPr>
      <w:r>
        <w:rPr>
          <w:rStyle w:val="None A"/>
          <w:b w:val="1"/>
          <w:bCs w:val="1"/>
          <w:rtl w:val="0"/>
          <w:lang w:val="en-US"/>
        </w:rPr>
        <w:t>Class Meeting Time and Location: Online</w:t>
      </w:r>
    </w:p>
    <w:p>
      <w:pPr>
        <w:pStyle w:val="Syllabi Heading"/>
        <w:rPr>
          <w:rStyle w:val="None A"/>
          <w:b w:val="1"/>
          <w:bCs w:val="1"/>
        </w:rPr>
      </w:pPr>
      <w:r>
        <w:rPr>
          <w:rStyle w:val="None A"/>
          <w:rFonts w:cs="Arial Unicode MS" w:eastAsia="Arial Unicode MS"/>
          <w:b w:val="1"/>
          <w:bCs w:val="1"/>
          <w:rtl w:val="0"/>
          <w:lang w:val="en-US"/>
        </w:rPr>
        <w:t>Textbook Information</w:t>
      </w:r>
    </w:p>
    <w:p>
      <w:pPr>
        <w:pStyle w:val="Body A"/>
      </w:pPr>
      <w:r>
        <w:rPr>
          <w:rStyle w:val="None A"/>
          <w:b w:val="1"/>
          <w:bCs w:val="1"/>
          <w:rtl w:val="0"/>
          <w:lang w:val="en-US"/>
        </w:rPr>
        <w:t xml:space="preserve">Required Textbook(s) and/or Required Materials: </w:t>
      </w:r>
      <w:r>
        <w:rPr>
          <w:rStyle w:val="Syllabi Basic Char"/>
          <w:rtl w:val="0"/>
          <w:lang w:val="en-US"/>
        </w:rPr>
        <w:t>Miller,L., Braswell, M., &amp;Whitehead,J. (2019).  Human Relations and Law Enforcement(7th ed)Waveland Press, Inc.</w:t>
      </w:r>
    </w:p>
    <w:p>
      <w:pPr>
        <w:pStyle w:val="Body A"/>
        <w:spacing w:after="200"/>
        <w:rPr>
          <w:rStyle w:val="None A"/>
          <w:b w:val="1"/>
          <w:bCs w:val="1"/>
          <w:i w:val="1"/>
          <w:iCs w:val="1"/>
          <w:color w:val="c00000"/>
          <w:u w:color="c00000"/>
          <w:lang w:val="en-US"/>
        </w:rPr>
      </w:pPr>
    </w:p>
    <w:p>
      <w:pPr>
        <w:pStyle w:val="Body A"/>
        <w:spacing w:after="0"/>
      </w:pPr>
      <w:r>
        <w:rPr>
          <w:rStyle w:val="None A"/>
          <w:b w:val="1"/>
          <w:bCs w:val="1"/>
          <w:i w:val="1"/>
          <w:iCs w:val="1"/>
          <w:color w:val="c00000"/>
          <w:u w:color="c00000"/>
          <w:rtl w:val="0"/>
          <w:lang w:val="en-US"/>
        </w:rPr>
        <w:t>&lt;&lt;If using Wayland</w:t>
      </w:r>
      <w:r>
        <w:rPr>
          <w:rStyle w:val="None A"/>
          <w:b w:val="1"/>
          <w:bCs w:val="1"/>
          <w:i w:val="1"/>
          <w:iCs w:val="1"/>
          <w:color w:val="c00000"/>
          <w:u w:color="c00000"/>
          <w:rtl w:val="0"/>
          <w:lang w:val="en-US"/>
        </w:rPr>
        <w:t>’</w:t>
      </w:r>
      <w:r>
        <w:rPr>
          <w:rStyle w:val="None A"/>
          <w:b w:val="1"/>
          <w:bCs w:val="1"/>
          <w:i w:val="1"/>
          <w:iCs w:val="1"/>
          <w:color w:val="c00000"/>
          <w:u w:color="c00000"/>
          <w:rtl w:val="0"/>
          <w:lang w:val="en-US"/>
        </w:rPr>
        <w:t>s Automatic eBook program, please include this statement; otherwise delete this paragraph.&gt;&gt;</w:t>
      </w:r>
      <w:r>
        <w:rPr>
          <w:rStyle w:val="None A"/>
          <w:i w:val="1"/>
          <w:iCs w:val="1"/>
          <w:color w:val="c00000"/>
          <w:u w:color="c00000"/>
          <w:rtl w:val="0"/>
          <w:lang w:val="en-US"/>
        </w:rPr>
        <w:t xml:space="preserve"> </w:t>
      </w:r>
      <w:r>
        <w:rPr>
          <w:rStyle w:val="None A"/>
          <w:i w:val="1"/>
          <w:iCs w:val="1"/>
          <w:rtl w:val="0"/>
          <w:lang w:val="en-US"/>
        </w:rPr>
        <w:t xml:space="preserve">The textbook for this course is part of the </w:t>
      </w:r>
      <w:r>
        <w:rPr>
          <w:rStyle w:val="None A"/>
          <w:b w:val="1"/>
          <w:bCs w:val="1"/>
          <w:i w:val="1"/>
          <w:iCs w:val="1"/>
          <w:rtl w:val="0"/>
          <w:lang w:val="en-US"/>
        </w:rPr>
        <w:t>Wayland</w:t>
      </w:r>
      <w:r>
        <w:rPr>
          <w:rStyle w:val="None A"/>
          <w:b w:val="1"/>
          <w:bCs w:val="1"/>
          <w:i w:val="1"/>
          <w:iCs w:val="1"/>
          <w:rtl w:val="0"/>
          <w:lang w:val="en-US"/>
        </w:rPr>
        <w:t>’</w:t>
      </w:r>
      <w:r>
        <w:rPr>
          <w:rStyle w:val="None A"/>
          <w:b w:val="1"/>
          <w:bCs w:val="1"/>
          <w:i w:val="1"/>
          <w:iCs w:val="1"/>
          <w:rtl w:val="0"/>
          <w:lang w:val="en-US"/>
        </w:rPr>
        <w:t>s Automatic eBook</w:t>
      </w:r>
      <w:r>
        <w:rPr>
          <w:rStyle w:val="None A"/>
          <w:i w:val="1"/>
          <w:iCs w:val="1"/>
          <w:rtl w:val="0"/>
          <w:lang w:val="en-US"/>
        </w:rPr>
        <w:t xml:space="preserve"> program. You will have access to an eBook and interactive learning material on the first day of class through your Blackboard course site. The cost of this Automatic eBook will be billed directly to your student account when you register for the course.</w:t>
      </w:r>
      <w:r>
        <w:rPr>
          <w:rStyle w:val="None A"/>
          <w:i w:val="1"/>
          <w:iCs w:val="1"/>
          <w:rtl w:val="0"/>
          <w:lang w:val="en-US"/>
        </w:rPr>
        <w:t> </w:t>
      </w:r>
      <w:r>
        <w:rPr>
          <w:rStyle w:val="None A"/>
          <w:i w:val="1"/>
          <w:iCs w:val="1"/>
          <w:rtl w:val="0"/>
          <w:lang w:val="en-US"/>
        </w:rPr>
        <w:t>You will be notified via email with access instructions and additional information. If you do not wish to participate in the Automatic eBook program, you will have the first 12 days of class to opt-out of the program (additional details will be outlined in your email instructions).</w:t>
      </w:r>
      <w:r>
        <w:rPr>
          <w:rStyle w:val="None A"/>
          <w:i w:val="1"/>
          <w:iCs w:val="1"/>
          <w:rtl w:val="0"/>
          <w:lang w:val="en-US"/>
        </w:rPr>
        <w:t> </w:t>
      </w:r>
      <w:r>
        <w:rPr>
          <w:rStyle w:val="None A"/>
          <w:i w:val="1"/>
          <w:iCs w:val="1"/>
          <w:rtl w:val="0"/>
          <w:lang w:val="en-US"/>
        </w:rPr>
        <w:t xml:space="preserve">For more information on the Automatic eBook program, visit the Wayland Bookstore </w:t>
      </w:r>
      <w:r>
        <w:rPr>
          <w:rStyle w:val="Hyperlink.0"/>
        </w:rPr>
        <w:fldChar w:fldCharType="begin" w:fldLock="0"/>
      </w:r>
      <w:r>
        <w:rPr>
          <w:rStyle w:val="Hyperlink.0"/>
        </w:rPr>
        <w:instrText xml:space="preserve"> HYPERLINK "https://bookstore.wbu.edu/site_inclusive.asp"</w:instrText>
      </w:r>
      <w:r>
        <w:rPr>
          <w:rStyle w:val="Hyperlink.0"/>
        </w:rPr>
        <w:fldChar w:fldCharType="separate" w:fldLock="0"/>
      </w:r>
      <w:r>
        <w:rPr>
          <w:rStyle w:val="Hyperlink.0"/>
          <w:rtl w:val="0"/>
          <w:lang w:val="en-US"/>
        </w:rPr>
        <w:t>Automatic eBook FAQ</w:t>
      </w:r>
      <w:r>
        <w:rPr/>
        <w:fldChar w:fldCharType="end" w:fldLock="0"/>
      </w:r>
      <w:r>
        <w:rPr>
          <w:rStyle w:val="None A"/>
          <w:i w:val="1"/>
          <w:iCs w:val="1"/>
          <w:rtl w:val="0"/>
          <w:lang w:val="en-US"/>
        </w:rPr>
        <w:t xml:space="preserve"> page.</w:t>
      </w:r>
    </w:p>
    <w:p>
      <w:pPr>
        <w:pStyle w:val="Body A"/>
      </w:pPr>
    </w:p>
    <w:p>
      <w:pPr>
        <w:pStyle w:val="Body A"/>
        <w:rPr>
          <w:rStyle w:val="None A"/>
          <w:sz w:val="24"/>
          <w:szCs w:val="24"/>
        </w:rPr>
      </w:pPr>
      <w:r>
        <w:rPr>
          <w:rStyle w:val="None A"/>
          <w:b w:val="1"/>
          <w:bCs w:val="1"/>
          <w:rtl w:val="0"/>
          <w:lang w:val="en-US"/>
        </w:rPr>
        <w:t xml:space="preserve">Optional Materials: </w:t>
      </w:r>
      <w:r>
        <w:rPr>
          <w:rStyle w:val="Syllabi Basic Char"/>
          <w:rtl w:val="0"/>
          <w:lang w:val="en-US"/>
        </w:rPr>
        <w:t>&lt;&lt;List optional materials recommended to enhance student learning&gt;&gt;</w:t>
      </w:r>
    </w:p>
    <w:p>
      <w:pPr>
        <w:pStyle w:val="Syllabi Heading"/>
        <w:rPr>
          <w:rStyle w:val="None A"/>
          <w:b w:val="1"/>
          <w:bCs w:val="1"/>
        </w:rPr>
      </w:pPr>
      <w:r>
        <w:rPr>
          <w:rStyle w:val="None A"/>
          <w:rFonts w:cs="Arial Unicode MS" w:eastAsia="Arial Unicode MS"/>
          <w:b w:val="1"/>
          <w:bCs w:val="1"/>
          <w:rtl w:val="0"/>
          <w:lang w:val="en-US"/>
        </w:rPr>
        <w:t>Course Information</w:t>
      </w:r>
    </w:p>
    <w:p>
      <w:pPr>
        <w:pStyle w:val="Body A"/>
        <w:spacing w:after="0"/>
      </w:pPr>
      <w:r>
        <w:rPr>
          <w:rStyle w:val="None A"/>
          <w:b w:val="1"/>
          <w:bCs w:val="1"/>
          <w:rtl w:val="0"/>
          <w:lang w:val="en-US"/>
        </w:rPr>
        <w:t xml:space="preserve">Catalog Description: </w:t>
      </w:r>
      <w:r>
        <w:rPr>
          <w:rStyle w:val="Syllabi Basic Char"/>
          <w:rtl w:val="0"/>
          <w:lang w:val="en-US"/>
        </w:rPr>
        <w:t xml:space="preserve"> Purpose of police-community relations; responsibilities of government and citizenry in promoting positive relationships; community structure; minority group involvement; human relations problems; analysis of community problems.</w:t>
      </w:r>
    </w:p>
    <w:p>
      <w:pPr>
        <w:pStyle w:val="Body A"/>
        <w:spacing w:after="0" w:line="20" w:lineRule="atLeast"/>
        <w:jc w:val="both"/>
        <w:rPr>
          <w:sz w:val="24"/>
          <w:szCs w:val="24"/>
        </w:rPr>
      </w:pPr>
    </w:p>
    <w:p>
      <w:pPr>
        <w:pStyle w:val="Normal (Web)"/>
        <w:rPr>
          <w:rStyle w:val="None A"/>
          <w:rFonts w:ascii="Calibri" w:cs="Calibri" w:hAnsi="Calibri" w:eastAsia="Calibri"/>
          <w:b w:val="1"/>
          <w:bCs w:val="1"/>
          <w:sz w:val="22"/>
          <w:szCs w:val="22"/>
        </w:rPr>
      </w:pPr>
      <w:r>
        <w:rPr>
          <w:rStyle w:val="None A"/>
          <w:rFonts w:ascii="Calibri" w:cs="Calibri" w:hAnsi="Calibri" w:eastAsia="Calibri"/>
          <w:b w:val="1"/>
          <w:bCs w:val="1"/>
          <w:sz w:val="22"/>
          <w:szCs w:val="22"/>
          <w:rtl w:val="0"/>
          <w:lang w:val="en-US"/>
        </w:rPr>
        <w:t>There is no prerequisite for this course.</w:t>
      </w:r>
    </w:p>
    <w:p>
      <w:pPr>
        <w:pStyle w:val="Normal (Web)"/>
        <w:spacing w:line="20" w:lineRule="atLeast"/>
        <w:rPr>
          <w:rFonts w:ascii="Calibri" w:cs="Calibri" w:hAnsi="Calibri" w:eastAsia="Calibri"/>
          <w:b w:val="1"/>
          <w:bCs w:val="1"/>
        </w:rPr>
      </w:pPr>
    </w:p>
    <w:p>
      <w:pPr>
        <w:pStyle w:val="Body A"/>
        <w:spacing w:after="0"/>
      </w:pPr>
      <w:r>
        <w:rPr>
          <w:rStyle w:val="None A"/>
          <w:b w:val="1"/>
          <w:bCs w:val="1"/>
          <w:rtl w:val="0"/>
          <w:lang w:val="en-US"/>
        </w:rPr>
        <w:t xml:space="preserve">Course Outcome Competencies:  </w:t>
      </w:r>
      <w:r>
        <w:rPr>
          <w:rStyle w:val="Syllabi Basic Char"/>
          <w:rtl w:val="0"/>
          <w:lang w:val="en-US"/>
        </w:rPr>
        <w:t>Upon completion of this course, students will be able to:</w:t>
      </w:r>
    </w:p>
    <w:p>
      <w:pPr>
        <w:pStyle w:val="Body A"/>
        <w:numPr>
          <w:ilvl w:val="0"/>
          <w:numId w:val="2"/>
        </w:numPr>
        <w:spacing w:after="0"/>
        <w:rPr>
          <w:rStyle w:val="None A"/>
          <w:lang w:val="en-US"/>
        </w:rPr>
      </w:pPr>
      <w:r>
        <w:rPr>
          <w:rStyle w:val="Syllabi Basic Char"/>
          <w:rtl w:val="0"/>
          <w:lang w:val="en-US"/>
        </w:rPr>
        <w:t>the necessity of establishing and maintaining good police/community relations</w:t>
      </w:r>
    </w:p>
    <w:p>
      <w:pPr>
        <w:pStyle w:val="Body A"/>
        <w:numPr>
          <w:ilvl w:val="0"/>
          <w:numId w:val="2"/>
        </w:numPr>
        <w:spacing w:after="0"/>
        <w:rPr>
          <w:rStyle w:val="None A"/>
          <w:lang w:val="en-US"/>
        </w:rPr>
      </w:pPr>
      <w:r>
        <w:rPr>
          <w:rStyle w:val="Syllabi Basic Char"/>
          <w:rtl w:val="0"/>
          <w:lang w:val="en-US"/>
        </w:rPr>
        <w:t>structure and key elements of a given community</w:t>
      </w:r>
    </w:p>
    <w:p>
      <w:pPr>
        <w:pStyle w:val="Body A"/>
        <w:numPr>
          <w:ilvl w:val="0"/>
          <w:numId w:val="2"/>
        </w:numPr>
        <w:spacing w:after="0"/>
        <w:rPr>
          <w:rStyle w:val="None A"/>
          <w:lang w:val="en-US"/>
        </w:rPr>
      </w:pPr>
      <w:r>
        <w:rPr>
          <w:rStyle w:val="Syllabi Basic Char"/>
          <w:rtl w:val="0"/>
          <w:lang w:val="en-US"/>
        </w:rPr>
        <w:t>factors that make people different</w:t>
      </w:r>
    </w:p>
    <w:p>
      <w:pPr>
        <w:pStyle w:val="Body A"/>
        <w:numPr>
          <w:ilvl w:val="0"/>
          <w:numId w:val="2"/>
        </w:numPr>
        <w:spacing w:after="0"/>
        <w:rPr>
          <w:rStyle w:val="None A"/>
          <w:lang w:val="en-US"/>
        </w:rPr>
      </w:pPr>
      <w:r>
        <w:rPr>
          <w:rStyle w:val="Syllabi Basic Char"/>
          <w:rtl w:val="0"/>
          <w:lang w:val="en-US"/>
        </w:rPr>
        <w:t>conflicts that permeate each community</w:t>
      </w:r>
    </w:p>
    <w:p>
      <w:pPr>
        <w:pStyle w:val="Body A"/>
        <w:numPr>
          <w:ilvl w:val="0"/>
          <w:numId w:val="2"/>
        </w:numPr>
        <w:spacing w:after="0"/>
        <w:rPr>
          <w:rStyle w:val="None A"/>
          <w:lang w:val="en-US"/>
        </w:rPr>
      </w:pPr>
      <w:r>
        <w:rPr>
          <w:rStyle w:val="Syllabi Basic Char"/>
          <w:rtl w:val="0"/>
          <w:lang w:val="en-US"/>
        </w:rPr>
        <w:t>law enforcement, judiciary, and corrections</w:t>
      </w:r>
    </w:p>
    <w:p>
      <w:pPr>
        <w:pStyle w:val="Body A"/>
        <w:numPr>
          <w:ilvl w:val="0"/>
          <w:numId w:val="2"/>
        </w:numPr>
        <w:spacing w:after="0"/>
        <w:rPr>
          <w:rStyle w:val="None A"/>
          <w:lang w:val="en-US"/>
        </w:rPr>
      </w:pPr>
      <w:r>
        <w:rPr>
          <w:rStyle w:val="Syllabi Basic Char"/>
          <w:rtl w:val="0"/>
          <w:lang w:val="en-US"/>
        </w:rPr>
        <w:t>minority groups, the discriminations, prejudice and bias that abound within given societies</w:t>
      </w:r>
    </w:p>
    <w:p>
      <w:pPr>
        <w:pStyle w:val="Body A"/>
        <w:numPr>
          <w:ilvl w:val="0"/>
          <w:numId w:val="2"/>
        </w:numPr>
        <w:spacing w:after="0"/>
        <w:rPr>
          <w:rStyle w:val="None A"/>
          <w:lang w:val="en-US"/>
        </w:rPr>
      </w:pPr>
      <w:r>
        <w:rPr>
          <w:rStyle w:val="Syllabi Basic Char"/>
          <w:rtl w:val="0"/>
          <w:lang w:val="en-US"/>
        </w:rPr>
        <w:t>struggle for power within communities</w:t>
      </w:r>
    </w:p>
    <w:p>
      <w:pPr>
        <w:pStyle w:val="Body A"/>
        <w:numPr>
          <w:ilvl w:val="0"/>
          <w:numId w:val="2"/>
        </w:numPr>
        <w:spacing w:after="0"/>
        <w:rPr>
          <w:rStyle w:val="None A"/>
          <w:lang w:val="en-US"/>
        </w:rPr>
      </w:pPr>
      <w:r>
        <w:rPr>
          <w:rStyle w:val="Syllabi Basic Char"/>
          <w:rtl w:val="0"/>
          <w:lang w:val="en-US"/>
        </w:rPr>
        <w:t>the human relations problem faced by police</w:t>
      </w:r>
    </w:p>
    <w:p>
      <w:pPr>
        <w:pStyle w:val="Body A"/>
        <w:numPr>
          <w:ilvl w:val="0"/>
          <w:numId w:val="2"/>
        </w:numPr>
        <w:spacing w:after="0"/>
        <w:rPr>
          <w:rStyle w:val="None A"/>
          <w:lang w:val="en-US"/>
        </w:rPr>
      </w:pPr>
      <w:r>
        <w:rPr>
          <w:rStyle w:val="Syllabi Basic Char"/>
          <w:rtl w:val="0"/>
          <w:lang w:val="en-US"/>
        </w:rPr>
        <w:t xml:space="preserve">the importance of </w:t>
      </w:r>
      <w:r>
        <w:rPr>
          <w:rStyle w:val="Syllabi Basic Char"/>
          <w:rtl w:val="0"/>
          <w:lang w:val="en-US"/>
        </w:rPr>
        <w:t>“</w:t>
      </w:r>
      <w:r>
        <w:rPr>
          <w:rtl w:val="0"/>
        </w:rPr>
        <w:t>image</w:t>
      </w:r>
      <w:r>
        <w:rPr>
          <w:rStyle w:val="Syllabi Basic Char"/>
          <w:rtl w:val="0"/>
          <w:lang w:val="en-US"/>
        </w:rPr>
        <w:t xml:space="preserve">” </w:t>
      </w:r>
      <w:r>
        <w:rPr>
          <w:rStyle w:val="Syllabi Basic Char"/>
          <w:rtl w:val="0"/>
          <w:lang w:val="en-US"/>
        </w:rPr>
        <w:t>within any given community</w:t>
      </w:r>
    </w:p>
    <w:p>
      <w:pPr>
        <w:pStyle w:val="Syllabi Heading"/>
      </w:pPr>
      <w:r>
        <w:rPr>
          <w:rStyle w:val="None A"/>
          <w:rFonts w:cs="Arial Unicode MS" w:eastAsia="Arial Unicode MS"/>
          <w:b w:val="1"/>
          <w:bCs w:val="1"/>
          <w:rtl w:val="0"/>
          <w:lang w:val="en-US"/>
        </w:rPr>
        <w:t>Attendance Requirement</w:t>
      </w:r>
    </w:p>
    <w:p>
      <w:pPr>
        <w:pStyle w:val="Body A"/>
        <w:rPr>
          <w:rStyle w:val="None A"/>
          <w:u w:val="single"/>
        </w:rPr>
      </w:pPr>
      <w:r>
        <w:rPr>
          <w:rStyle w:val="None A"/>
          <w:u w:val="single"/>
          <w:rtl w:val="0"/>
          <w:lang w:val="en-US"/>
        </w:rPr>
        <w:t xml:space="preserve">WBUonline </w:t>
      </w:r>
    </w:p>
    <w:p>
      <w:pPr>
        <w:pStyle w:val="Body A"/>
      </w:pPr>
      <w:r>
        <w:rPr>
          <w:rStyle w:val="Syllabi Basic Char"/>
          <w:rtl w:val="0"/>
          <w:lang w:val="en-US"/>
        </w:rPr>
        <w:t xml:space="preserve">Students are expected to participate in all required instructional activities in their courses. Online courses are no different in this regard; however, participation must be defined in a different manner. Student </w:t>
      </w:r>
      <w:r>
        <w:rPr>
          <w:rtl w:val="0"/>
        </w:rPr>
        <w:t>“</w:t>
      </w:r>
      <w:r>
        <w:rPr>
          <w:rStyle w:val="None A"/>
          <w:rtl w:val="0"/>
          <w:lang w:val="fr-FR"/>
        </w:rPr>
        <w:t>attendance</w:t>
      </w:r>
      <w:r>
        <w:rPr>
          <w:rtl w:val="0"/>
        </w:rPr>
        <w:t xml:space="preserve">” </w:t>
      </w:r>
      <w:r>
        <w:rPr>
          <w:rStyle w:val="Syllabi Basic Char"/>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w:t>
      </w:r>
      <w:r>
        <w:rPr>
          <w:rtl w:val="0"/>
        </w:rPr>
        <w:t>“</w:t>
      </w:r>
      <w:r>
        <w:rPr>
          <w:rStyle w:val="Syllabi Basic Char"/>
          <w:rtl w:val="0"/>
          <w:lang w:val="en-US"/>
        </w:rPr>
        <w:t>no-show</w:t>
      </w:r>
      <w:r>
        <w:rPr>
          <w:rtl w:val="0"/>
        </w:rPr>
        <w:t xml:space="preserve">” </w:t>
      </w:r>
      <w:r>
        <w:rPr>
          <w:rStyle w:val="Syllabi Basic Char"/>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Style w:val="None A"/>
          <w:rtl w:val="0"/>
          <w:lang w:val="fr-FR"/>
        </w:rPr>
        <w:t>’</w:t>
      </w:r>
      <w:r>
        <w:rPr>
          <w:rStyle w:val="None A"/>
          <w:rtl w:val="0"/>
          <w:lang w:val="fr-FR"/>
        </w:rPr>
        <w:t>s attendance policy.</w:t>
      </w:r>
    </w:p>
    <w:p>
      <w:pPr>
        <w:pStyle w:val="Syllabi Heading"/>
        <w:rPr>
          <w:rStyle w:val="None A"/>
          <w:b w:val="1"/>
          <w:bCs w:val="1"/>
        </w:rPr>
      </w:pPr>
      <w:r>
        <w:rPr>
          <w:rStyle w:val="None A"/>
          <w:rFonts w:cs="Arial Unicode MS" w:eastAsia="Arial Unicode MS"/>
          <w:b w:val="1"/>
          <w:bCs w:val="1"/>
          <w:rtl w:val="0"/>
          <w:lang w:val="en-US"/>
        </w:rPr>
        <w:t>University Policies</w:t>
      </w:r>
    </w:p>
    <w:p>
      <w:pPr>
        <w:pStyle w:val="Body A"/>
        <w:spacing w:after="0"/>
      </w:pPr>
      <w:r>
        <w:rPr>
          <w:rStyle w:val="None A"/>
          <w:b w:val="1"/>
          <w:bCs w:val="1"/>
          <w:rtl w:val="0"/>
          <w:lang w:val="en-US"/>
        </w:rPr>
        <w:t>Statement on Plagiarism and Academic Dishonesty:</w:t>
      </w:r>
      <w:r>
        <w:rPr>
          <w:rStyle w:val="None A"/>
          <w:color w:val="000000"/>
          <w:sz w:val="24"/>
          <w:szCs w:val="24"/>
          <w:u w:color="000000"/>
          <w:rtl w:val="0"/>
          <w:lang w:val="en-US"/>
        </w:rPr>
        <w:t xml:space="preserve"> </w:t>
      </w:r>
      <w:r>
        <w:rPr>
          <w:rStyle w:val="Syllabi Basic Char"/>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Body A"/>
        <w:spacing w:after="0"/>
      </w:pPr>
    </w:p>
    <w:p>
      <w:pPr>
        <w:pStyle w:val="Body A"/>
        <w:spacing w:after="0"/>
      </w:pPr>
      <w:r>
        <w:rPr>
          <w:rStyle w:val="None A"/>
          <w:b w:val="1"/>
          <w:bCs w:val="1"/>
          <w:rtl w:val="0"/>
          <w:lang w:val="en-US"/>
        </w:rPr>
        <w:t>Disability Statement:</w:t>
      </w:r>
      <w:r>
        <w:rPr>
          <w:rStyle w:val="Syllabi Basic Char"/>
          <w:rtl w:val="0"/>
          <w:lang w:val="en-US"/>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pPr>
        <w:pStyle w:val="Body A"/>
        <w:spacing w:after="0"/>
      </w:pPr>
      <w:r>
        <w:rPr>
          <w:rtl w:val="0"/>
        </w:rPr>
        <w:t xml:space="preserve"> </w:t>
      </w:r>
    </w:p>
    <w:p>
      <w:pPr>
        <w:pStyle w:val="Body A"/>
        <w:spacing w:after="0"/>
      </w:pPr>
      <w:r>
        <w:rPr>
          <w:rStyle w:val="Syllabi Basic Char"/>
          <w:rtl w:val="0"/>
          <w:lang w:val="en-US"/>
        </w:rPr>
        <w:t xml:space="preserve">Accessibility issues with content in WBUonline courses or in Blackboard should be addressed to the WBU accessibility coordinator, Dr. Rick Hammer, </w:t>
      </w:r>
      <w:r>
        <w:rPr>
          <w:rStyle w:val="Hyperlink.1"/>
        </w:rPr>
        <w:fldChar w:fldCharType="begin" w:fldLock="0"/>
      </w:r>
      <w:r>
        <w:rPr>
          <w:rStyle w:val="Hyperlink.1"/>
        </w:rPr>
        <w:instrText xml:space="preserve"> HYPERLINK "mailto:hammerr@wbu.edu"</w:instrText>
      </w:r>
      <w:r>
        <w:rPr>
          <w:rStyle w:val="Hyperlink.1"/>
        </w:rPr>
        <w:fldChar w:fldCharType="separate" w:fldLock="0"/>
      </w:r>
      <w:r>
        <w:rPr>
          <w:rStyle w:val="Hyperlink.1"/>
          <w:rtl w:val="0"/>
          <w:lang w:val="de-DE"/>
        </w:rPr>
        <w:t>hammerr@wbu.edu</w:t>
      </w:r>
      <w:r>
        <w:rPr/>
        <w:fldChar w:fldCharType="end" w:fldLock="0"/>
      </w:r>
      <w:r>
        <w:rPr>
          <w:rStyle w:val="Syllabi Basic Char"/>
          <w:rtl w:val="0"/>
          <w:lang w:val="en-US"/>
        </w:rPr>
        <w:t xml:space="preserve"> or call (806) 292-9150.</w:t>
      </w:r>
    </w:p>
    <w:p>
      <w:pPr>
        <w:pStyle w:val="Body A"/>
        <w:spacing w:after="0"/>
      </w:pPr>
    </w:p>
    <w:p>
      <w:pPr>
        <w:pStyle w:val="Body A"/>
        <w:spacing w:after="0"/>
      </w:pPr>
      <w:r>
        <w:rPr>
          <w:rStyle w:val="None A"/>
          <w:b w:val="1"/>
          <w:bCs w:val="1"/>
          <w:rtl w:val="0"/>
          <w:lang w:val="en-US"/>
        </w:rPr>
        <w:t>Student Grade Appeals:</w:t>
      </w:r>
      <w:r>
        <w:rPr>
          <w:rStyle w:val="None A"/>
          <w:sz w:val="24"/>
          <w:szCs w:val="24"/>
          <w:rtl w:val="0"/>
          <w:lang w:val="en-US"/>
        </w:rPr>
        <w:t xml:space="preserve"> </w:t>
      </w:r>
      <w:r>
        <w:rPr>
          <w:rStyle w:val="Syllabi Basic Char"/>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Style w:val="None A"/>
          <w:u w:val="single"/>
          <w:rtl w:val="0"/>
          <w:lang w:val="en-US"/>
        </w:rPr>
        <w:t>final</w:t>
      </w:r>
      <w:r>
        <w:rPr>
          <w:rStyle w:val="Syllabi Basic Char"/>
          <w:rtl w:val="0"/>
          <w:lang w:val="en-US"/>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pPr>
        <w:pStyle w:val="Body A"/>
        <w:spacing w:after="0"/>
      </w:pPr>
    </w:p>
    <w:p>
      <w:pPr>
        <w:pStyle w:val="Body A"/>
        <w:outlineLvl w:val="1"/>
      </w:pPr>
      <w:r>
        <w:rPr>
          <w:rStyle w:val="None A"/>
          <w:color w:val="0563c1"/>
          <w:u w:val="single" w:color="0563c1"/>
          <w:rtl w:val="0"/>
          <w:lang w:val="en-US"/>
        </w:rPr>
        <w:t>WBU Catalog</w:t>
      </w:r>
    </w:p>
    <w:p>
      <w:pPr>
        <w:pStyle w:val="Syllabi Heading"/>
        <w:rPr>
          <w:rStyle w:val="None A"/>
          <w:b w:val="1"/>
          <w:bCs w:val="1"/>
        </w:rPr>
      </w:pPr>
      <w:r>
        <w:rPr>
          <w:rStyle w:val="None A"/>
          <w:rFonts w:cs="Arial Unicode MS" w:eastAsia="Arial Unicode MS"/>
          <w:b w:val="1"/>
          <w:bCs w:val="1"/>
          <w:rtl w:val="0"/>
          <w:lang w:val="en-US"/>
        </w:rPr>
        <w:t>Course Requirements and Grading Criteria</w:t>
      </w:r>
    </w:p>
    <w:p>
      <w:pPr>
        <w:pStyle w:val="Normal (Web)"/>
        <w:ind w:left="360" w:firstLine="0"/>
        <w:rPr>
          <w:rStyle w:val="None A"/>
          <w:u w:color="000000"/>
        </w:rPr>
      </w:pPr>
    </w:p>
    <w:p>
      <w:pPr>
        <w:pStyle w:val="footer"/>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Weekly Assignments: There will be weekly assignments from each Section or from Questions that I submit.  These assignments will be posted every Monday and your response should be submitted by the following Sunday by 11:00pm.</w:t>
      </w:r>
    </w:p>
    <w:p>
      <w:pPr>
        <w:pStyle w:val="footer"/>
        <w:tabs>
          <w:tab w:val="clear" w:pos="4680"/>
          <w:tab w:val="clear" w:pos="9360"/>
        </w:tabs>
        <w:ind w:left="720" w:firstLine="0"/>
        <w:rPr>
          <w:rFonts w:ascii="Times New Roman" w:cs="Times New Roman" w:hAnsi="Times New Roman" w:eastAsia="Times New Roman"/>
          <w:sz w:val="24"/>
          <w:szCs w:val="24"/>
        </w:rPr>
      </w:pPr>
    </w:p>
    <w:p>
      <w:pPr>
        <w:pStyle w:val="footer"/>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Mid- Term Exam: The Mid- Term Exam will cover the first three sections of the textbook (Sections 1-3) and any discussion that took place.</w:t>
      </w:r>
    </w:p>
    <w:p>
      <w:pPr>
        <w:pStyle w:val="footer"/>
        <w:tabs>
          <w:tab w:val="clear" w:pos="4680"/>
          <w:tab w:val="clear" w:pos="9360"/>
        </w:tabs>
        <w:spacing w:after="200" w:line="276" w:lineRule="auto"/>
        <w:ind w:left="720" w:firstLine="0"/>
        <w:rPr>
          <w:rFonts w:ascii="Times New Roman" w:cs="Times New Roman" w:hAnsi="Times New Roman" w:eastAsia="Times New Roman"/>
          <w:sz w:val="24"/>
          <w:szCs w:val="24"/>
        </w:rPr>
      </w:pPr>
    </w:p>
    <w:p>
      <w:pPr>
        <w:pStyle w:val="footer"/>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 xml:space="preserve">Final Exam: The final exam will cover the last four sections of the textbook (Sections 4-7) and any discussion that took place in class.  </w:t>
      </w:r>
    </w:p>
    <w:p>
      <w:pPr>
        <w:pStyle w:val="footer"/>
        <w:tabs>
          <w:tab w:val="clear" w:pos="4680"/>
          <w:tab w:val="clear" w:pos="9360"/>
        </w:tabs>
        <w:rPr>
          <w:rFonts w:ascii="Times New Roman" w:cs="Times New Roman" w:hAnsi="Times New Roman" w:eastAsia="Times New Roman"/>
          <w:sz w:val="24"/>
          <w:szCs w:val="24"/>
        </w:rPr>
      </w:pPr>
    </w:p>
    <w:p>
      <w:pPr>
        <w:pStyle w:val="Normal (Web)"/>
        <w:rPr>
          <w:rStyle w:val="None A"/>
          <w:rFonts w:ascii="Calibri" w:cs="Calibri" w:hAnsi="Calibri" w:eastAsia="Calibri"/>
          <w:color w:val="000000"/>
          <w:sz w:val="22"/>
          <w:szCs w:val="22"/>
          <w:u w:color="000000"/>
        </w:rPr>
      </w:pPr>
      <w:r>
        <w:rPr>
          <w:rStyle w:val="None A"/>
          <w:rFonts w:ascii="Calibri" w:cs="Calibri" w:hAnsi="Calibri" w:eastAsia="Calibri"/>
          <w:b w:val="1"/>
          <w:bCs w:val="1"/>
          <w:color w:val="000000"/>
          <w:sz w:val="22"/>
          <w:szCs w:val="22"/>
          <w:u w:color="000000"/>
          <w:rtl w:val="0"/>
          <w:lang w:val="en-US"/>
        </w:rPr>
        <w:t>The University has a standard grade scale</w:t>
      </w:r>
      <w:r>
        <w:rPr>
          <w:rStyle w:val="None A"/>
          <w:rFonts w:ascii="Calibri" w:cs="Calibri" w:hAnsi="Calibri" w:eastAsia="Calibri"/>
          <w:b w:val="1"/>
          <w:bCs w:val="1"/>
          <w:color w:val="000000"/>
          <w:sz w:val="22"/>
          <w:szCs w:val="22"/>
          <w:u w:val="single" w:color="000000"/>
          <w:rtl w:val="0"/>
          <w:lang w:val="en-US"/>
        </w:rPr>
        <w:t>:</w:t>
      </w:r>
    </w:p>
    <w:p>
      <w:pPr>
        <w:pStyle w:val="Normal (Web)"/>
        <w:rPr>
          <w:rStyle w:val="None A"/>
          <w:b w:val="1"/>
          <w:bCs w:val="1"/>
          <w:u w:val="single"/>
        </w:rPr>
      </w:pPr>
      <w:r>
        <w:rPr>
          <w:rStyle w:val="None A"/>
          <w:rFonts w:ascii="Calibri" w:cs="Calibri" w:hAnsi="Calibri" w:eastAsia="Calibri"/>
          <w:color w:val="000000"/>
          <w:sz w:val="22"/>
          <w:szCs w:val="22"/>
          <w:u w:color="000000"/>
          <w:rtl w:val="0"/>
          <w:lang w:val="en-US"/>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w:t>
      </w:r>
      <w:r>
        <w:rPr>
          <w:rStyle w:val="None A"/>
          <w:rFonts w:ascii="Calibri" w:cs="Calibri" w:hAnsi="Calibri" w:eastAsia="Calibri"/>
          <w:color w:val="000000"/>
          <w:sz w:val="22"/>
          <w:szCs w:val="22"/>
          <w:u w:color="000000"/>
          <w:rtl w:val="0"/>
          <w:lang w:val="en-US"/>
        </w:rPr>
        <w:t>’</w:t>
      </w:r>
      <w:r>
        <w:rPr>
          <w:rStyle w:val="None A"/>
          <w:rFonts w:ascii="Calibri" w:cs="Calibri" w:hAnsi="Calibri" w:eastAsia="Calibri"/>
          <w:color w:val="000000"/>
          <w:sz w:val="22"/>
          <w:szCs w:val="22"/>
          <w:u w:color="000000"/>
          <w:rtl w:val="0"/>
          <w:lang w:val="en-US"/>
        </w:rPr>
        <w:t xml:space="preserve">s control. A grade of </w:t>
      </w:r>
      <w:r>
        <w:rPr>
          <w:rStyle w:val="None A"/>
          <w:rFonts w:ascii="Calibri" w:cs="Calibri" w:hAnsi="Calibri" w:eastAsia="Calibri"/>
          <w:color w:val="000000"/>
          <w:sz w:val="22"/>
          <w:szCs w:val="22"/>
          <w:u w:color="000000"/>
          <w:rtl w:val="0"/>
          <w:lang w:val="en-US"/>
        </w:rPr>
        <w:t>“</w:t>
      </w:r>
      <w:r>
        <w:rPr>
          <w:rStyle w:val="None A"/>
          <w:rFonts w:ascii="Calibri" w:cs="Calibri" w:hAnsi="Calibri" w:eastAsia="Calibri"/>
          <w:color w:val="000000"/>
          <w:sz w:val="22"/>
          <w:szCs w:val="22"/>
          <w:u w:color="000000"/>
          <w:rtl w:val="0"/>
          <w:lang w:val="en-US"/>
        </w:rPr>
        <w:t>incomplete</w:t>
      </w:r>
      <w:r>
        <w:rPr>
          <w:rStyle w:val="None A"/>
          <w:rFonts w:ascii="Calibri" w:cs="Calibri" w:hAnsi="Calibri" w:eastAsia="Calibri"/>
          <w:color w:val="000000"/>
          <w:sz w:val="22"/>
          <w:szCs w:val="22"/>
          <w:u w:color="000000"/>
          <w:rtl w:val="0"/>
          <w:lang w:val="en-US"/>
        </w:rPr>
        <w:t xml:space="preserve">” </w:t>
      </w:r>
      <w:r>
        <w:rPr>
          <w:rStyle w:val="None A"/>
          <w:rFonts w:ascii="Calibri" w:cs="Calibri" w:hAnsi="Calibri" w:eastAsia="Calibri"/>
          <w:color w:val="000000"/>
          <w:sz w:val="22"/>
          <w:szCs w:val="22"/>
          <w:u w:color="000000"/>
          <w:rtl w:val="0"/>
          <w:lang w:val="en-US"/>
        </w:rPr>
        <w:t>is changed if the work required is completed prior to the last day of the next long 16-week term or 8-week session, unless the instructor designates an earlier date for completion.</w:t>
      </w:r>
      <w:r>
        <w:rPr>
          <w:rStyle w:val="None A"/>
          <w:rFonts w:ascii="Calibri" w:cs="Calibri" w:hAnsi="Calibri" w:eastAsia="Calibri"/>
          <w:color w:val="000000"/>
          <w:sz w:val="22"/>
          <w:szCs w:val="22"/>
          <w:u w:color="000000"/>
          <w:rtl w:val="0"/>
          <w:lang w:val="en-US"/>
        </w:rPr>
        <w:t xml:space="preserve">  </w:t>
      </w:r>
      <w:r>
        <w:rPr>
          <w:rStyle w:val="None A"/>
          <w:rFonts w:ascii="Calibri" w:cs="Calibri" w:hAnsi="Calibri" w:eastAsia="Calibri"/>
          <w:color w:val="000000"/>
          <w:sz w:val="22"/>
          <w:szCs w:val="22"/>
          <w:u w:color="000000"/>
          <w:rtl w:val="0"/>
          <w:lang w:val="en-US"/>
        </w:rPr>
        <w:t>If the work is not completed by the appropriate date, the I is converted to an F.</w:t>
      </w:r>
    </w:p>
    <w:p>
      <w:pPr>
        <w:pStyle w:val="Syllabi Heading"/>
        <w:rPr>
          <w:rStyle w:val="None A"/>
          <w:b w:val="1"/>
          <w:bCs w:val="1"/>
        </w:rPr>
      </w:pPr>
      <w:r>
        <w:rPr>
          <w:rStyle w:val="None A"/>
          <w:rFonts w:cs="Arial Unicode MS" w:eastAsia="Arial Unicode MS"/>
          <w:b w:val="1"/>
          <w:bCs w:val="1"/>
          <w:rtl w:val="0"/>
          <w:lang w:val="en-US"/>
        </w:rPr>
        <w:t>Tentative Schedule</w:t>
      </w:r>
    </w:p>
    <w:p>
      <w:pPr>
        <w:pStyle w:val="Normal (Web)"/>
        <w:rPr>
          <w:rStyle w:val="None A"/>
          <w:b w:val="1"/>
          <w:bCs w:val="1"/>
          <w:sz w:val="22"/>
          <w:szCs w:val="22"/>
        </w:rPr>
      </w:pPr>
      <w:r>
        <w:rPr>
          <w:rStyle w:val="None A"/>
          <w:b w:val="1"/>
          <w:bCs w:val="1"/>
          <w:sz w:val="22"/>
          <w:szCs w:val="22"/>
          <w:u w:val="single"/>
          <w:rtl w:val="0"/>
          <w:lang w:val="en-US"/>
        </w:rPr>
        <w:t>WEEK 1</w:t>
      </w:r>
      <w:r>
        <w:rPr>
          <w:rStyle w:val="None A"/>
          <w:b w:val="1"/>
          <w:bCs w:val="1"/>
          <w:sz w:val="22"/>
          <w:szCs w:val="22"/>
          <w:rtl w:val="0"/>
          <w:lang w:val="en-US"/>
        </w:rPr>
        <w:t>:</w:t>
      </w:r>
      <w:r>
        <w:rPr>
          <w:rStyle w:val="None A"/>
          <w:b w:val="1"/>
          <w:bCs w:val="1"/>
          <w:sz w:val="22"/>
          <w:szCs w:val="22"/>
          <w:rtl w:val="0"/>
          <w:lang w:val="en-US"/>
        </w:rPr>
        <w:t xml:space="preserve"> Read Section 1; Case assignment;</w:t>
      </w:r>
    </w:p>
    <w:p>
      <w:pPr>
        <w:pStyle w:val="Normal (Web)"/>
        <w:rPr>
          <w:rStyle w:val="None A"/>
          <w:b w:val="1"/>
          <w:bCs w:val="1"/>
          <w:sz w:val="22"/>
          <w:szCs w:val="22"/>
        </w:rPr>
      </w:pPr>
      <w:r>
        <w:rPr>
          <w:rStyle w:val="None A"/>
          <w:b w:val="1"/>
          <w:bCs w:val="1"/>
          <w:sz w:val="22"/>
          <w:szCs w:val="22"/>
        </w:rPr>
        <w:tab/>
        <w:tab/>
      </w:r>
    </w:p>
    <w:p>
      <w:pPr>
        <w:pStyle w:val="Normal (Web)"/>
        <w:rPr>
          <w:b w:val="1"/>
          <w:bCs w:val="1"/>
          <w:sz w:val="22"/>
          <w:szCs w:val="22"/>
        </w:rPr>
      </w:pPr>
    </w:p>
    <w:p>
      <w:pPr>
        <w:pStyle w:val="Normal (Web)"/>
        <w:rPr>
          <w:rStyle w:val="None A"/>
          <w:b w:val="1"/>
          <w:bCs w:val="1"/>
          <w:sz w:val="22"/>
          <w:szCs w:val="22"/>
        </w:rPr>
      </w:pPr>
      <w:r>
        <w:rPr>
          <w:rStyle w:val="None A"/>
          <w:b w:val="1"/>
          <w:bCs w:val="1"/>
          <w:sz w:val="22"/>
          <w:szCs w:val="22"/>
          <w:u w:val="single"/>
          <w:rtl w:val="0"/>
          <w:lang w:val="en-US"/>
        </w:rPr>
        <w:t>WEEK 2</w:t>
      </w:r>
      <w:r>
        <w:rPr>
          <w:rStyle w:val="None A"/>
          <w:b w:val="1"/>
          <w:bCs w:val="1"/>
          <w:sz w:val="22"/>
          <w:szCs w:val="22"/>
          <w:rtl w:val="0"/>
          <w:lang w:val="en-US"/>
        </w:rPr>
        <w:t>: Read Section 2;  Case assignment;</w:t>
      </w:r>
    </w:p>
    <w:p>
      <w:pPr>
        <w:pStyle w:val="Normal (Web)"/>
        <w:rPr>
          <w:rStyle w:val="None A"/>
          <w:b w:val="1"/>
          <w:bCs w:val="1"/>
          <w:sz w:val="22"/>
          <w:szCs w:val="22"/>
          <w:u w:val="single"/>
        </w:rPr>
      </w:pPr>
    </w:p>
    <w:p>
      <w:pPr>
        <w:pStyle w:val="Normal (Web)"/>
        <w:rPr>
          <w:rStyle w:val="None A"/>
          <w:b w:val="1"/>
          <w:bCs w:val="1"/>
          <w:sz w:val="22"/>
          <w:szCs w:val="22"/>
        </w:rPr>
      </w:pPr>
      <w:r>
        <w:rPr>
          <w:rStyle w:val="None A"/>
          <w:b w:val="1"/>
          <w:bCs w:val="1"/>
          <w:sz w:val="22"/>
          <w:szCs w:val="22"/>
          <w:u w:val="single"/>
          <w:rtl w:val="0"/>
          <w:lang w:val="en-US"/>
        </w:rPr>
        <w:t xml:space="preserve">WEEK 3:  </w:t>
      </w:r>
      <w:r>
        <w:rPr>
          <w:rStyle w:val="None A"/>
          <w:b w:val="1"/>
          <w:bCs w:val="1"/>
          <w:sz w:val="22"/>
          <w:szCs w:val="22"/>
          <w:rtl w:val="0"/>
          <w:lang w:val="en-US"/>
        </w:rPr>
        <w:t>Read Section 3; Case assignment;</w:t>
      </w:r>
    </w:p>
    <w:p>
      <w:pPr>
        <w:pStyle w:val="Normal (Web)"/>
        <w:rPr>
          <w:b w:val="1"/>
          <w:bCs w:val="1"/>
          <w:sz w:val="22"/>
          <w:szCs w:val="22"/>
        </w:rPr>
      </w:pPr>
    </w:p>
    <w:p>
      <w:pPr>
        <w:pStyle w:val="Normal (Web)"/>
        <w:rPr>
          <w:b w:val="1"/>
          <w:bCs w:val="1"/>
          <w:sz w:val="22"/>
          <w:szCs w:val="22"/>
        </w:rPr>
      </w:pPr>
    </w:p>
    <w:p>
      <w:pPr>
        <w:pStyle w:val="Normal (Web)"/>
        <w:rPr>
          <w:rStyle w:val="None A"/>
          <w:b w:val="1"/>
          <w:bCs w:val="1"/>
          <w:sz w:val="22"/>
          <w:szCs w:val="22"/>
        </w:rPr>
      </w:pPr>
      <w:r>
        <w:rPr>
          <w:rStyle w:val="None A"/>
          <w:b w:val="1"/>
          <w:bCs w:val="1"/>
          <w:sz w:val="22"/>
          <w:szCs w:val="22"/>
          <w:u w:val="single"/>
          <w:rtl w:val="0"/>
          <w:lang w:val="en-US"/>
        </w:rPr>
        <w:t xml:space="preserve">WEEK 4: </w:t>
      </w:r>
      <w:r>
        <w:rPr>
          <w:rStyle w:val="None A"/>
          <w:b w:val="1"/>
          <w:bCs w:val="1"/>
          <w:sz w:val="22"/>
          <w:szCs w:val="22"/>
          <w:rtl w:val="0"/>
          <w:lang w:val="en-US"/>
        </w:rPr>
        <w:t>Read Section 4; ; Case assignment; Mid-term Exam</w:t>
      </w:r>
      <w:r>
        <w:rPr>
          <w:rStyle w:val="None A"/>
          <w:b w:val="1"/>
          <w:bCs w:val="1"/>
          <w:sz w:val="22"/>
          <w:szCs w:val="22"/>
          <w:rtl w:val="0"/>
          <w:lang w:val="en-US"/>
        </w:rPr>
        <w:t xml:space="preserve"> (1-3)</w:t>
      </w:r>
    </w:p>
    <w:p>
      <w:pPr>
        <w:pStyle w:val="Normal (Web)"/>
        <w:rPr>
          <w:b w:val="1"/>
          <w:bCs w:val="1"/>
          <w:sz w:val="22"/>
          <w:szCs w:val="22"/>
        </w:rPr>
      </w:pPr>
    </w:p>
    <w:p>
      <w:pPr>
        <w:pStyle w:val="Normal (Web)"/>
        <w:rPr>
          <w:b w:val="1"/>
          <w:bCs w:val="1"/>
          <w:sz w:val="22"/>
          <w:szCs w:val="22"/>
        </w:rPr>
      </w:pPr>
    </w:p>
    <w:p>
      <w:pPr>
        <w:pStyle w:val="Normal (Web)"/>
        <w:rPr>
          <w:rStyle w:val="None A"/>
          <w:b w:val="1"/>
          <w:bCs w:val="1"/>
          <w:sz w:val="22"/>
          <w:szCs w:val="22"/>
        </w:rPr>
      </w:pPr>
      <w:r>
        <w:rPr>
          <w:rStyle w:val="None A"/>
          <w:b w:val="1"/>
          <w:bCs w:val="1"/>
          <w:sz w:val="22"/>
          <w:szCs w:val="22"/>
          <w:u w:val="single"/>
          <w:rtl w:val="0"/>
          <w:lang w:val="en-US"/>
        </w:rPr>
        <w:t>WEEK 5:   ,</w:t>
      </w:r>
      <w:r>
        <w:rPr>
          <w:rStyle w:val="None A"/>
          <w:b w:val="1"/>
          <w:bCs w:val="1"/>
          <w:sz w:val="22"/>
          <w:szCs w:val="22"/>
          <w:rtl w:val="0"/>
          <w:lang w:val="en-US"/>
        </w:rPr>
        <w:t>Read Section 5; Case assignment;</w:t>
      </w:r>
    </w:p>
    <w:p>
      <w:pPr>
        <w:pStyle w:val="Normal (Web)"/>
        <w:rPr>
          <w:b w:val="1"/>
          <w:bCs w:val="1"/>
          <w:sz w:val="22"/>
          <w:szCs w:val="22"/>
        </w:rPr>
      </w:pPr>
    </w:p>
    <w:p>
      <w:pPr>
        <w:pStyle w:val="Normal (Web)"/>
        <w:rPr>
          <w:b w:val="1"/>
          <w:bCs w:val="1"/>
          <w:sz w:val="22"/>
          <w:szCs w:val="22"/>
        </w:rPr>
      </w:pPr>
    </w:p>
    <w:p>
      <w:pPr>
        <w:pStyle w:val="Normal (Web)"/>
        <w:jc w:val="both"/>
        <w:rPr>
          <w:rStyle w:val="None A"/>
          <w:b w:val="1"/>
          <w:bCs w:val="1"/>
          <w:sz w:val="22"/>
          <w:szCs w:val="22"/>
        </w:rPr>
      </w:pPr>
      <w:r>
        <w:rPr>
          <w:rStyle w:val="None A"/>
          <w:b w:val="1"/>
          <w:bCs w:val="1"/>
          <w:sz w:val="22"/>
          <w:szCs w:val="22"/>
          <w:u w:val="single"/>
          <w:rtl w:val="0"/>
          <w:lang w:val="en-US"/>
        </w:rPr>
        <w:t xml:space="preserve">WEEK 6: </w:t>
      </w:r>
      <w:r>
        <w:rPr>
          <w:rStyle w:val="None A"/>
          <w:b w:val="1"/>
          <w:bCs w:val="1"/>
          <w:sz w:val="22"/>
          <w:szCs w:val="22"/>
          <w:rtl w:val="0"/>
          <w:lang w:val="en-US"/>
        </w:rPr>
        <w:t>Read Section 6;  Case assignment;</w:t>
      </w:r>
    </w:p>
    <w:p>
      <w:pPr>
        <w:pStyle w:val="Normal (Web)"/>
        <w:jc w:val="both"/>
        <w:rPr>
          <w:rStyle w:val="None A"/>
          <w:b w:val="1"/>
          <w:bCs w:val="1"/>
          <w:sz w:val="22"/>
          <w:szCs w:val="22"/>
        </w:rPr>
      </w:pPr>
      <w:r>
        <w:rPr>
          <w:rStyle w:val="None A"/>
          <w:b w:val="1"/>
          <w:bCs w:val="1"/>
          <w:sz w:val="22"/>
          <w:szCs w:val="22"/>
        </w:rPr>
        <w:tab/>
        <w:tab/>
        <w:tab/>
        <w:tab/>
      </w:r>
    </w:p>
    <w:p>
      <w:pPr>
        <w:pStyle w:val="Normal (Web)"/>
        <w:rPr>
          <w:b w:val="1"/>
          <w:bCs w:val="1"/>
          <w:sz w:val="22"/>
          <w:szCs w:val="22"/>
        </w:rPr>
      </w:pPr>
    </w:p>
    <w:p>
      <w:pPr>
        <w:pStyle w:val="Normal (Web)"/>
        <w:jc w:val="both"/>
        <w:rPr>
          <w:b w:val="1"/>
          <w:bCs w:val="1"/>
          <w:sz w:val="22"/>
          <w:szCs w:val="22"/>
        </w:rPr>
      </w:pPr>
    </w:p>
    <w:p>
      <w:pPr>
        <w:pStyle w:val="Normal (Web)"/>
        <w:rPr>
          <w:rStyle w:val="None A"/>
          <w:b w:val="1"/>
          <w:bCs w:val="1"/>
          <w:sz w:val="22"/>
          <w:szCs w:val="22"/>
        </w:rPr>
      </w:pPr>
      <w:r>
        <w:rPr>
          <w:rStyle w:val="None A"/>
          <w:b w:val="1"/>
          <w:bCs w:val="1"/>
          <w:sz w:val="22"/>
          <w:szCs w:val="22"/>
          <w:u w:val="single"/>
          <w:rtl w:val="0"/>
          <w:lang w:val="en-US"/>
        </w:rPr>
        <w:t xml:space="preserve">WEEK 7: </w:t>
      </w:r>
      <w:r>
        <w:rPr>
          <w:rStyle w:val="None A"/>
          <w:b w:val="1"/>
          <w:bCs w:val="1"/>
          <w:sz w:val="22"/>
          <w:szCs w:val="22"/>
          <w:rtl w:val="0"/>
          <w:lang w:val="en-US"/>
        </w:rPr>
        <w:t>Read Section 7;  Case assignment;</w:t>
      </w:r>
    </w:p>
    <w:p>
      <w:pPr>
        <w:pStyle w:val="Normal (Web)"/>
        <w:rPr>
          <w:b w:val="1"/>
          <w:bCs w:val="1"/>
          <w:sz w:val="22"/>
          <w:szCs w:val="22"/>
        </w:rPr>
      </w:pPr>
    </w:p>
    <w:p>
      <w:pPr>
        <w:pStyle w:val="Normal (Web)"/>
        <w:rPr>
          <w:rStyle w:val="None A"/>
          <w:b w:val="1"/>
          <w:bCs w:val="1"/>
          <w:sz w:val="22"/>
          <w:szCs w:val="22"/>
          <w:u w:val="single"/>
        </w:rPr>
      </w:pPr>
    </w:p>
    <w:p>
      <w:pPr>
        <w:pStyle w:val="Normal (Web)"/>
        <w:rPr>
          <w:rStyle w:val="None A"/>
          <w:b w:val="1"/>
          <w:bCs w:val="1"/>
          <w:sz w:val="22"/>
          <w:szCs w:val="22"/>
        </w:rPr>
      </w:pPr>
      <w:r>
        <w:rPr>
          <w:rStyle w:val="None A"/>
          <w:b w:val="1"/>
          <w:bCs w:val="1"/>
          <w:sz w:val="22"/>
          <w:szCs w:val="22"/>
          <w:u w:val="single"/>
          <w:rtl w:val="0"/>
          <w:lang w:val="en-US"/>
        </w:rPr>
        <w:t xml:space="preserve">WEEK 8: </w:t>
      </w:r>
      <w:r>
        <w:rPr>
          <w:rStyle w:val="None A"/>
          <w:b w:val="1"/>
          <w:bCs w:val="1"/>
          <w:sz w:val="22"/>
          <w:szCs w:val="22"/>
          <w:rtl w:val="0"/>
          <w:lang w:val="en-US"/>
        </w:rPr>
        <w:t xml:space="preserve"> Final Exam; </w:t>
      </w:r>
      <w:r>
        <w:rPr>
          <w:rStyle w:val="None A"/>
          <w:b w:val="1"/>
          <w:bCs w:val="1"/>
          <w:sz w:val="22"/>
          <w:szCs w:val="22"/>
          <w:rtl w:val="0"/>
          <w:lang w:val="en-US"/>
        </w:rPr>
        <w:t>(4-7)</w:t>
      </w:r>
    </w:p>
    <w:p>
      <w:pPr>
        <w:pStyle w:val="Normal (Web)"/>
        <w:rPr>
          <w:b w:val="1"/>
          <w:bCs w:val="1"/>
          <w:sz w:val="22"/>
          <w:szCs w:val="22"/>
        </w:rPr>
      </w:pPr>
    </w:p>
    <w:p>
      <w:pPr>
        <w:pStyle w:val="Normal (Web)"/>
        <w:rPr>
          <w:rStyle w:val="None A"/>
          <w:rFonts w:ascii="Georgia" w:cs="Georgia" w:hAnsi="Georgia" w:eastAsia="Georgia"/>
          <w:b w:val="1"/>
          <w:bCs w:val="1"/>
        </w:rPr>
      </w:pPr>
      <w:r>
        <w:rPr>
          <w:rStyle w:val="None A"/>
          <w:rFonts w:ascii="Georgia" w:hAnsi="Georgia"/>
          <w:b w:val="1"/>
          <w:bCs w:val="1"/>
          <w:rtl w:val="0"/>
          <w:lang w:val="en-US"/>
        </w:rPr>
        <w:t xml:space="preserve">Additional Information </w:t>
      </w:r>
    </w:p>
    <w:p>
      <w:pPr>
        <w:pStyle w:val="Body A"/>
      </w:pPr>
      <w:r>
        <w:rPr>
          <w:rStyle w:val="Syllabi Basic Char"/>
          <w:rtl w:val="0"/>
          <w:lang w:val="en-US"/>
        </w:rPr>
        <w:t>&lt;&lt;Section can be deleted if not needed&gt;&gt;</w:t>
      </w:r>
    </w:p>
    <w:sectPr>
      <w:headerReference w:type="default" r:id="rId4"/>
      <w:footerReference w:type="default" r:id="rId5"/>
      <w:pgSz w:w="12240" w:h="15840" w:orient="portrait"/>
      <w:pgMar w:top="1440" w:right="1440" w:bottom="1440" w:left="1440" w:header="288"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rStyle w:val="None A"/>
        <w:i w:val="1"/>
        <w:iCs w:val="1"/>
        <w:sz w:val="16"/>
        <w:szCs w:val="16"/>
        <w:rtl w:val="0"/>
        <w:lang w:val="en-US"/>
      </w:rPr>
      <w:t>Template Updated November 2, 2022</w:t>
    </w:r>
    <w:r>
      <w:tab/>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inline distT="0" distB="0" distL="0" distR="0">
          <wp:extent cx="2459896" cy="781050"/>
          <wp:effectExtent l="0" t="0" r="0" b="0"/>
          <wp:docPr id="1073741825" name="officeArt object" descr="WBU Logo&#10;&#10;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073741825" name="image1.jpeg" descr="WBU Logo&#10;&#10;Picture of the Wayland Baptist University flame logo"/>
                  <pic:cNvPicPr>
                    <a:picLocks noChangeAspect="1"/>
                  </pic:cNvPicPr>
                </pic:nvPicPr>
                <pic:blipFill>
                  <a:blip r:embed="rId1">
                    <a:extLst/>
                  </a:blip>
                  <a:stretch>
                    <a:fillRect/>
                  </a:stretch>
                </pic:blipFill>
                <pic:spPr>
                  <a:xfrm>
                    <a:off x="0" y="0"/>
                    <a:ext cx="2459896" cy="781050"/>
                  </a:xfrm>
                  <a:prstGeom prst="rect">
                    <a:avLst/>
                  </a:prstGeom>
                  <a:ln w="12700" cap="flat">
                    <a:noFill/>
                    <a:miter lim="400000"/>
                  </a:ln>
                  <a:effectLst/>
                </pic:spPr>
              </pic:pic>
            </a:graphicData>
          </a:graphic>
        </wp:inline>
      </w:drawing>
    </w:r>
  </w:p>
  <w:p>
    <w:pPr>
      <w:pStyle w:val="header"/>
      <w:tabs>
        <w:tab w:val="right" w:pos="9340"/>
        <w:tab w:val="clear" w:pos="9360"/>
      </w:tabs>
      <w:jc w:val="right"/>
    </w:pPr>
  </w:p>
  <w:p>
    <w:pPr>
      <w:pStyle w:val="header"/>
      <w:tabs>
        <w:tab w:val="right" w:pos="9340"/>
        <w:tab w:val="clear" w:pos="9360"/>
      </w:tabs>
      <w:jc w:val="right"/>
    </w:pPr>
  </w:p>
  <w:p>
    <w:pPr>
      <w:pStyle w:val="header"/>
      <w:tabs>
        <w:tab w:val="right" w:pos="9340"/>
        <w:tab w:val="clear" w:pos="9360"/>
      </w:tabs>
      <w:jc w:val="right"/>
    </w:pPr>
    <w:r>
      <w:rPr>
        <w:rtl w:val="0"/>
        <w:lang w:val="en-US"/>
      </w:rPr>
      <w:t>School of Behavioral &amp; Social Sciences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792"/>
        </w:tabs>
        <w:ind w:left="864"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92"/>
          <w:tab w:val="num" w:pos="1440"/>
        </w:tabs>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92"/>
          <w:tab w:val="num" w:pos="216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92"/>
          <w:tab w:val="num" w:pos="2880"/>
        </w:tabs>
        <w:ind w:left="2952" w:hanging="43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92"/>
          <w:tab w:val="num" w:pos="3600"/>
        </w:tabs>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92"/>
          <w:tab w:val="num" w:pos="432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92"/>
          <w:tab w:val="num" w:pos="5040"/>
        </w:tabs>
        <w:ind w:left="5112" w:hanging="43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92"/>
          <w:tab w:val="num" w:pos="5760"/>
        </w:tabs>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92"/>
          <w:tab w:val="num" w:pos="648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clear" w:pos="4680"/>
          <w:tab w:val="clear" w:pos="9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680"/>
          <w:tab w:val="clear" w:pos="936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680"/>
          <w:tab w:val="clear" w:pos="9360"/>
        </w:tabs>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680"/>
          <w:tab w:val="clear" w:pos="936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680"/>
          <w:tab w:val="clear" w:pos="936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680"/>
          <w:tab w:val="clear" w:pos="9360"/>
        </w:tabs>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680"/>
          <w:tab w:val="clear" w:pos="936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680"/>
          <w:tab w:val="clear" w:pos="936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680"/>
          <w:tab w:val="clear" w:pos="9360"/>
        </w:tabs>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Syllabi Heading">
    <w:name w:val="Syllabi Heading"/>
    <w:next w:val="Body A"/>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240" w:after="240" w:line="360" w:lineRule="auto"/>
      <w:ind w:left="0" w:right="0" w:firstLine="0"/>
      <w:jc w:val="left"/>
      <w:outlineLvl w:val="0"/>
    </w:pPr>
    <w:rPr>
      <w:rFonts w:ascii="Georgia" w:cs="Georgia" w:hAnsi="Georgia" w:eastAsia="Georgia"/>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Syllabi Basic Char">
    <w:name w:val="Syllabi Basic Char"/>
    <w:basedOn w:val="None A"/>
    <w:rPr>
      <w:lang w:val="en-US"/>
    </w:rPr>
  </w:style>
  <w:style w:type="character" w:styleId="Hyperlink.0">
    <w:name w:val="Hyperlink.0"/>
    <w:basedOn w:val="None A"/>
    <w:next w:val="Hyperlink.0"/>
    <w:rPr>
      <w:rFonts w:ascii="Trebuchet MS" w:cs="Trebuchet MS" w:hAnsi="Trebuchet MS" w:eastAsia="Trebuchet MS"/>
      <w:i w:val="1"/>
      <w:iCs w:val="1"/>
      <w:color w:val="0563c1"/>
      <w:u w:val="single" w:color="0563c1"/>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1">
    <w:name w:val="Hyperlink.1"/>
    <w:basedOn w:val="None A"/>
    <w:next w:val="Hyperlink.1"/>
    <w:rPr>
      <w:color w:val="0563c1"/>
      <w:u w:val="single" w:color="0563c1"/>
      <w:lang w:val="de-DE"/>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